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24963575" w14:textId="77777777" w:rsidTr="00B6553F">
        <w:trPr>
          <w:cantSplit/>
          <w:trHeight w:hRule="exact" w:val="851"/>
        </w:trPr>
        <w:tc>
          <w:tcPr>
            <w:tcW w:w="1276" w:type="dxa"/>
            <w:tcBorders>
              <w:bottom w:val="single" w:sz="4" w:space="0" w:color="auto"/>
            </w:tcBorders>
            <w:vAlign w:val="bottom"/>
          </w:tcPr>
          <w:p w14:paraId="6E04CEA4" w14:textId="5818BF28" w:rsidR="003E1362" w:rsidRDefault="003E1362" w:rsidP="00B6553F">
            <w:pPr>
              <w:spacing w:after="80"/>
            </w:pPr>
          </w:p>
        </w:tc>
        <w:tc>
          <w:tcPr>
            <w:tcW w:w="2268" w:type="dxa"/>
            <w:tcBorders>
              <w:bottom w:val="single" w:sz="4" w:space="0" w:color="auto"/>
            </w:tcBorders>
            <w:vAlign w:val="bottom"/>
          </w:tcPr>
          <w:p w14:paraId="4978577F" w14:textId="71CF344C"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14:paraId="28C18EF6" w14:textId="08B062E9" w:rsidR="00B56E9C" w:rsidRPr="00D47EEA" w:rsidRDefault="00B56E9C" w:rsidP="008E1994">
            <w:pPr>
              <w:jc w:val="right"/>
            </w:pPr>
          </w:p>
        </w:tc>
      </w:tr>
      <w:tr w:rsidR="00B56E9C" w14:paraId="178B7948" w14:textId="77777777" w:rsidTr="00B6553F">
        <w:trPr>
          <w:cantSplit/>
          <w:trHeight w:hRule="exact" w:val="2835"/>
        </w:trPr>
        <w:tc>
          <w:tcPr>
            <w:tcW w:w="1276" w:type="dxa"/>
            <w:tcBorders>
              <w:top w:val="single" w:sz="4" w:space="0" w:color="auto"/>
              <w:bottom w:val="single" w:sz="12" w:space="0" w:color="auto"/>
            </w:tcBorders>
          </w:tcPr>
          <w:p w14:paraId="318D84EC" w14:textId="301067DE" w:rsidR="00B56E9C" w:rsidRDefault="00B56E9C" w:rsidP="00B6553F">
            <w:pPr>
              <w:spacing w:before="120"/>
            </w:pPr>
          </w:p>
        </w:tc>
        <w:tc>
          <w:tcPr>
            <w:tcW w:w="5528" w:type="dxa"/>
            <w:gridSpan w:val="2"/>
            <w:tcBorders>
              <w:top w:val="single" w:sz="4" w:space="0" w:color="auto"/>
              <w:bottom w:val="single" w:sz="12" w:space="0" w:color="auto"/>
            </w:tcBorders>
          </w:tcPr>
          <w:p w14:paraId="1D312D26" w14:textId="006D71BD" w:rsidR="00B56E9C" w:rsidRPr="00267F5F" w:rsidRDefault="00F658E6" w:rsidP="00267F5F">
            <w:pPr>
              <w:spacing w:before="120" w:line="380" w:lineRule="exact"/>
              <w:rPr>
                <w:sz w:val="34"/>
              </w:rPr>
            </w:pPr>
            <w:r>
              <w:rPr>
                <w:sz w:val="34"/>
              </w:rPr>
              <w:t>ADVANCE UNEDITED VERSION</w:t>
            </w:r>
          </w:p>
        </w:tc>
        <w:tc>
          <w:tcPr>
            <w:tcW w:w="2835" w:type="dxa"/>
            <w:tcBorders>
              <w:top w:val="single" w:sz="4" w:space="0" w:color="auto"/>
              <w:bottom w:val="single" w:sz="12" w:space="0" w:color="auto"/>
            </w:tcBorders>
          </w:tcPr>
          <w:p w14:paraId="64A1356D" w14:textId="2CC5DE9A" w:rsidR="003C6F61" w:rsidRDefault="003C6F61" w:rsidP="00BA107D">
            <w:pPr>
              <w:spacing w:line="240" w:lineRule="exact"/>
            </w:pPr>
          </w:p>
        </w:tc>
      </w:tr>
    </w:tbl>
    <w:p w14:paraId="5CB87B19" w14:textId="77777777" w:rsidR="001200A8" w:rsidRDefault="001200A8" w:rsidP="001200A8">
      <w:pPr>
        <w:spacing w:before="120"/>
      </w:pPr>
      <w:r>
        <w:rPr>
          <w:b/>
          <w:sz w:val="24"/>
        </w:rPr>
        <w:t>Human Rights Committee</w:t>
      </w:r>
    </w:p>
    <w:p w14:paraId="298C9569" w14:textId="1E1030DE" w:rsidR="001200A8" w:rsidRDefault="001200A8" w:rsidP="001200A8">
      <w:pPr>
        <w:keepNext/>
        <w:keepLines/>
        <w:spacing w:before="360" w:after="240"/>
        <w:ind w:left="1134" w:right="1134" w:hanging="1134"/>
      </w:pPr>
      <w:r>
        <w:rPr>
          <w:b/>
          <w:sz w:val="28"/>
        </w:rPr>
        <w:tab/>
        <w:t xml:space="preserve">Concluding observations on the </w:t>
      </w:r>
      <w:r w:rsidR="009C2E91">
        <w:rPr>
          <w:b/>
          <w:sz w:val="28"/>
        </w:rPr>
        <w:t>fourth</w:t>
      </w:r>
      <w:r>
        <w:rPr>
          <w:b/>
          <w:sz w:val="28"/>
        </w:rPr>
        <w:t xml:space="preserve"> periodic report of </w:t>
      </w:r>
      <w:r w:rsidR="009C2E91">
        <w:rPr>
          <w:b/>
          <w:sz w:val="28"/>
        </w:rPr>
        <w:t>Uzbekistan</w:t>
      </w:r>
      <w:r w:rsidR="009B1514" w:rsidRPr="00804557">
        <w:rPr>
          <w:rStyle w:val="FootnoteReference"/>
          <w:b/>
          <w:sz w:val="20"/>
          <w:vertAlign w:val="baseline"/>
        </w:rPr>
        <w:footnoteReference w:customMarkFollows="1" w:id="2"/>
        <w:t>*</w:t>
      </w:r>
    </w:p>
    <w:p w14:paraId="17447D20" w14:textId="3B68D618" w:rsidR="003B0D53" w:rsidRDefault="00616298" w:rsidP="003B0D53">
      <w:pPr>
        <w:spacing w:after="120"/>
        <w:ind w:left="1134" w:right="1134"/>
        <w:jc w:val="both"/>
      </w:pPr>
      <w:r>
        <w:t>1.</w:t>
      </w:r>
      <w:r>
        <w:tab/>
      </w:r>
      <w:r w:rsidR="003B0D53" w:rsidRPr="003B0D53">
        <w:t>The Committee considered the fourth periodic report of Uzbekistan (CCPR/C/UZB/4) at its 3178th and 3179th meetings (CCPR/C/SR.3178 and 3179), held on 8 and 9 July 2015. At its 3192nd meeting (CCPR/C/SR.3192), held on 20 July 2015, it adopted the following concluding observations.</w:t>
      </w:r>
    </w:p>
    <w:p w14:paraId="2A6F8C6A" w14:textId="77777777" w:rsidR="003B0D53" w:rsidRPr="006018AE" w:rsidRDefault="003B0D53" w:rsidP="003B0D53">
      <w:pPr>
        <w:spacing w:after="120"/>
        <w:ind w:left="1134" w:right="1134"/>
        <w:jc w:val="both"/>
        <w:rPr>
          <w:sz w:val="24"/>
        </w:rPr>
      </w:pPr>
      <w:r w:rsidRPr="006018AE">
        <w:rPr>
          <w:b/>
          <w:sz w:val="24"/>
        </w:rPr>
        <w:t>A.</w:t>
      </w:r>
      <w:r w:rsidRPr="006018AE">
        <w:rPr>
          <w:b/>
          <w:sz w:val="24"/>
        </w:rPr>
        <w:tab/>
        <w:t>Introduction</w:t>
      </w:r>
    </w:p>
    <w:p w14:paraId="146A7582" w14:textId="0D017E2F" w:rsidR="003B0D53" w:rsidRPr="003B0D53" w:rsidRDefault="00616298" w:rsidP="003B0D53">
      <w:pPr>
        <w:spacing w:after="120"/>
        <w:ind w:left="1134" w:right="1134"/>
        <w:jc w:val="both"/>
      </w:pPr>
      <w:r>
        <w:t>2.</w:t>
      </w:r>
      <w:r>
        <w:tab/>
      </w:r>
      <w:r w:rsidR="003B0D53" w:rsidRPr="003B0D53">
        <w:t xml:space="preserve">The Committee welcomes the timely submission of the fourth periodic report of Uzbekistan and the information presented therein. It expresses appreciation for the opportunity to engage in a constructive dialogue with the State party’s delegation on the measures taken by the State party during the reporting period to implement the provisions of the Covenant. The Committee is grateful to the State party for its written replies (CCPR/C/UZB/Q/4/Add.1) to the list of issues (CCPR/C/UZB/Q/4), which </w:t>
      </w:r>
      <w:proofErr w:type="gramStart"/>
      <w:r w:rsidR="003B0D53" w:rsidRPr="003B0D53">
        <w:t>were supplemented</w:t>
      </w:r>
      <w:proofErr w:type="gramEnd"/>
      <w:r w:rsidR="003B0D53" w:rsidRPr="003B0D53">
        <w:t xml:space="preserve"> by the detailed responses provided by the delegation</w:t>
      </w:r>
      <w:r w:rsidR="000A6E9E">
        <w:t>,</w:t>
      </w:r>
      <w:r w:rsidR="003B0D53" w:rsidRPr="003B0D53">
        <w:t xml:space="preserve"> and for the supplementary information provided to it in writing.</w:t>
      </w:r>
    </w:p>
    <w:p w14:paraId="503B2D77" w14:textId="77777777" w:rsidR="003B0D53" w:rsidRPr="006018AE" w:rsidRDefault="003B0D53" w:rsidP="003B0D53">
      <w:pPr>
        <w:spacing w:after="120"/>
        <w:ind w:left="1134" w:right="1134"/>
        <w:jc w:val="both"/>
        <w:rPr>
          <w:b/>
          <w:sz w:val="24"/>
        </w:rPr>
      </w:pPr>
      <w:r w:rsidRPr="006018AE">
        <w:rPr>
          <w:b/>
          <w:sz w:val="24"/>
        </w:rPr>
        <w:t>B.</w:t>
      </w:r>
      <w:r w:rsidRPr="006018AE">
        <w:rPr>
          <w:b/>
          <w:sz w:val="24"/>
        </w:rPr>
        <w:tab/>
        <w:t>Positive aspects</w:t>
      </w:r>
    </w:p>
    <w:p w14:paraId="094C0E11" w14:textId="15169DFB" w:rsidR="003B0D53" w:rsidRPr="003B0D53" w:rsidRDefault="00616298" w:rsidP="003B0D53">
      <w:pPr>
        <w:spacing w:after="120"/>
        <w:ind w:left="1134" w:right="1134"/>
        <w:jc w:val="both"/>
      </w:pPr>
      <w:r>
        <w:t>3.</w:t>
      </w:r>
      <w:r>
        <w:tab/>
      </w:r>
      <w:r w:rsidR="003B0D53" w:rsidRPr="003B0D53">
        <w:t xml:space="preserve">The Committee welcomes the adoption of the </w:t>
      </w:r>
      <w:proofErr w:type="spellStart"/>
      <w:r w:rsidR="003B0D53" w:rsidRPr="003B0D53">
        <w:t>Pretrial</w:t>
      </w:r>
      <w:proofErr w:type="spellEnd"/>
      <w:r w:rsidR="003B0D53" w:rsidRPr="003B0D53">
        <w:t xml:space="preserve"> Detention during Criminal Proceedings Act on 29 September 2011.</w:t>
      </w:r>
    </w:p>
    <w:p w14:paraId="1BC521D9" w14:textId="74827845" w:rsidR="00424C4E" w:rsidRDefault="00D4552D" w:rsidP="00163F95">
      <w:pPr>
        <w:pStyle w:val="H1G"/>
      </w:pPr>
      <w:r>
        <w:tab/>
      </w:r>
      <w:r w:rsidR="00391EEC">
        <w:tab/>
      </w:r>
      <w:r w:rsidR="006018AE">
        <w:t xml:space="preserve">C. </w:t>
      </w:r>
      <w:r w:rsidR="00391EEC">
        <w:t>Principal matters of concern and recommendations</w:t>
      </w:r>
    </w:p>
    <w:p w14:paraId="07916A2B" w14:textId="77777777" w:rsidR="004E70AE" w:rsidRPr="004E70AE" w:rsidRDefault="004E70AE" w:rsidP="004E70AE">
      <w:pPr>
        <w:spacing w:after="120"/>
        <w:ind w:left="1134" w:right="1134"/>
        <w:jc w:val="both"/>
        <w:rPr>
          <w:b/>
          <w:lang w:bidi="he-IL"/>
        </w:rPr>
      </w:pPr>
      <w:r w:rsidRPr="004E70AE">
        <w:rPr>
          <w:b/>
        </w:rPr>
        <w:t>Implementation of the Committee’s Views under the Optional Protocol to the Covenant</w:t>
      </w:r>
    </w:p>
    <w:p w14:paraId="70A2B1E2" w14:textId="1FB7564A" w:rsidR="004E70AE" w:rsidRPr="004E70AE" w:rsidRDefault="00616298" w:rsidP="004E70AE">
      <w:pPr>
        <w:spacing w:after="120"/>
        <w:ind w:left="1134" w:right="1134"/>
        <w:jc w:val="both"/>
      </w:pPr>
      <w:r>
        <w:t>4.</w:t>
      </w:r>
      <w:r>
        <w:tab/>
      </w:r>
      <w:r w:rsidR="004E70AE" w:rsidRPr="004E70AE">
        <w:t>The Committee is concerned about the State party’s failure to implement Views adopted by the Committee under the Optional Protocol and the lack of effective mechanisms and procedures for authors of communications to seek, in law and in practice, the full implementation of the Committee’s Views (art.2).</w:t>
      </w:r>
    </w:p>
    <w:p w14:paraId="2C8F2922" w14:textId="77777777" w:rsidR="004E70AE" w:rsidRPr="004E70AE" w:rsidRDefault="004E70AE" w:rsidP="004E70AE">
      <w:pPr>
        <w:spacing w:after="120"/>
        <w:ind w:left="1134" w:right="1134"/>
        <w:jc w:val="both"/>
        <w:rPr>
          <w:b/>
          <w:bCs/>
        </w:rPr>
      </w:pPr>
      <w:r w:rsidRPr="004E70AE">
        <w:rPr>
          <w:b/>
        </w:rPr>
        <w:t xml:space="preserve">The State party should take all institutional and legislative measures to ensure that Committee’s Views are published and that mechanisms and appropriate procedures </w:t>
      </w:r>
      <w:r w:rsidRPr="004E70AE">
        <w:rPr>
          <w:b/>
        </w:rPr>
        <w:lastRenderedPageBreak/>
        <w:t xml:space="preserve">are in place to give full effect to the Views </w:t>
      </w:r>
      <w:proofErr w:type="gramStart"/>
      <w:r w:rsidRPr="004E70AE">
        <w:rPr>
          <w:b/>
        </w:rPr>
        <w:t>so as to</w:t>
      </w:r>
      <w:proofErr w:type="gramEnd"/>
      <w:r w:rsidRPr="004E70AE">
        <w:rPr>
          <w:b/>
        </w:rPr>
        <w:t xml:space="preserve"> guarantee the right of victims to an effective remedy when there has been a violation of the Covenant.   </w:t>
      </w:r>
    </w:p>
    <w:p w14:paraId="0B29C4E9" w14:textId="77777777" w:rsidR="004E70AE" w:rsidRPr="004E70AE" w:rsidRDefault="004E70AE" w:rsidP="004E70AE">
      <w:pPr>
        <w:spacing w:after="120"/>
        <w:ind w:left="1134" w:right="1134"/>
        <w:jc w:val="both"/>
        <w:rPr>
          <w:b/>
          <w:bCs/>
        </w:rPr>
      </w:pPr>
      <w:r w:rsidRPr="004E70AE">
        <w:rPr>
          <w:b/>
          <w:bCs/>
        </w:rPr>
        <w:t>National Human Rights Institution</w:t>
      </w:r>
    </w:p>
    <w:p w14:paraId="5C73E407" w14:textId="42550AA5" w:rsidR="004E70AE" w:rsidRPr="004E70AE" w:rsidRDefault="003F0A20" w:rsidP="004E70AE">
      <w:pPr>
        <w:spacing w:after="120"/>
        <w:ind w:left="1134" w:right="1134"/>
        <w:jc w:val="both"/>
      </w:pPr>
      <w:proofErr w:type="gramStart"/>
      <w:r>
        <w:t>5.</w:t>
      </w:r>
      <w:r>
        <w:tab/>
        <w:t xml:space="preserve">The Committee, </w:t>
      </w:r>
      <w:r w:rsidR="004E70AE" w:rsidRPr="004E70AE">
        <w:t xml:space="preserve">while noting that both the Human Rights Commissioner (Ombudsman) of the Oily </w:t>
      </w:r>
      <w:proofErr w:type="spellStart"/>
      <w:r w:rsidR="004E70AE" w:rsidRPr="004E70AE">
        <w:t>Majlis</w:t>
      </w:r>
      <w:proofErr w:type="spellEnd"/>
      <w:r w:rsidR="004E70AE" w:rsidRPr="004E70AE">
        <w:t xml:space="preserve"> (Parliament) and the National Centre for Human Rights are mandated to promote and protect human rights, it is concerned that neither of these bodies appear to comply with the principles relating to the status of national institutions for the promotion and protection of human rights (the Paris Principles) (art. 2).</w:t>
      </w:r>
      <w:proofErr w:type="gramEnd"/>
      <w:r w:rsidR="004E70AE" w:rsidRPr="004E70AE">
        <w:t xml:space="preserve"> </w:t>
      </w:r>
    </w:p>
    <w:p w14:paraId="64FFC206" w14:textId="77777777" w:rsidR="004E70AE" w:rsidRPr="004E70AE" w:rsidRDefault="004E70AE" w:rsidP="004E70AE">
      <w:pPr>
        <w:spacing w:after="120"/>
        <w:ind w:left="1134" w:right="1134"/>
        <w:jc w:val="both"/>
        <w:rPr>
          <w:b/>
        </w:rPr>
      </w:pPr>
      <w:r w:rsidRPr="004E70AE">
        <w:rPr>
          <w:b/>
        </w:rPr>
        <w:t>The State party should:</w:t>
      </w:r>
    </w:p>
    <w:p w14:paraId="42C34615" w14:textId="77777777" w:rsidR="004E70AE" w:rsidRPr="004E70AE" w:rsidRDefault="004E70AE" w:rsidP="004E70AE">
      <w:pPr>
        <w:spacing w:after="120"/>
        <w:ind w:left="1134" w:right="1134"/>
        <w:jc w:val="both"/>
        <w:rPr>
          <w:b/>
        </w:rPr>
      </w:pPr>
      <w:r w:rsidRPr="004E70AE">
        <w:rPr>
          <w:b/>
        </w:rPr>
        <w:tab/>
        <w:t>(a)</w:t>
      </w:r>
      <w:r w:rsidRPr="004E70AE">
        <w:rPr>
          <w:b/>
        </w:rPr>
        <w:tab/>
        <w:t>Strengthen the independence, in law and in practice, of the existing human rights institutions in compliance with the Paris Principles (General Assembly resolution 48/134, annex);</w:t>
      </w:r>
    </w:p>
    <w:p w14:paraId="0DB016C6" w14:textId="52FC3404" w:rsidR="004E70AE" w:rsidRPr="00163826" w:rsidRDefault="004E70AE" w:rsidP="00163826">
      <w:pPr>
        <w:spacing w:after="120"/>
        <w:ind w:left="1134" w:right="1134"/>
        <w:jc w:val="both"/>
        <w:rPr>
          <w:b/>
        </w:rPr>
      </w:pPr>
      <w:r w:rsidRPr="004E70AE">
        <w:rPr>
          <w:b/>
        </w:rPr>
        <w:tab/>
        <w:t>(b)</w:t>
      </w:r>
      <w:r w:rsidRPr="004E70AE">
        <w:rPr>
          <w:b/>
        </w:rPr>
        <w:tab/>
        <w:t>Consider applying for accreditation with the International Coordination Committee of National Institutions for the Promotion and Protection of Human Rights (ICC).</w:t>
      </w:r>
    </w:p>
    <w:p w14:paraId="6DE71D42" w14:textId="77777777" w:rsidR="009B578C" w:rsidRPr="006C35CE" w:rsidRDefault="004A3449" w:rsidP="004A3449">
      <w:pPr>
        <w:pStyle w:val="SingleTxtG"/>
        <w:rPr>
          <w:b/>
        </w:rPr>
      </w:pPr>
      <w:r w:rsidRPr="006C35CE">
        <w:rPr>
          <w:b/>
        </w:rPr>
        <w:t>Non-discrimination</w:t>
      </w:r>
      <w:r w:rsidR="00E20C50" w:rsidRPr="006C35CE">
        <w:rPr>
          <w:b/>
        </w:rPr>
        <w:t xml:space="preserve"> and gender equality</w:t>
      </w:r>
    </w:p>
    <w:p w14:paraId="565A5AF8" w14:textId="703175A0" w:rsidR="00640A59" w:rsidRPr="006C35CE" w:rsidRDefault="00616298" w:rsidP="00640A59">
      <w:pPr>
        <w:pStyle w:val="SingleTxtG"/>
      </w:pPr>
      <w:proofErr w:type="gramStart"/>
      <w:r>
        <w:t>6</w:t>
      </w:r>
      <w:r w:rsidR="00B61C9E">
        <w:t>.</w:t>
      </w:r>
      <w:r w:rsidR="00B61C9E">
        <w:tab/>
      </w:r>
      <w:r w:rsidR="00640A59" w:rsidRPr="006C35CE">
        <w:t xml:space="preserve">The Committee, while noting that the prohibition of discrimination is proclaimed in article 18 of the Constitution and is reflected in a series of legislative acts, </w:t>
      </w:r>
      <w:r w:rsidR="006D289A">
        <w:t xml:space="preserve">is </w:t>
      </w:r>
      <w:r w:rsidR="00640A59" w:rsidRPr="006C35CE">
        <w:t>concern</w:t>
      </w:r>
      <w:r w:rsidR="006D289A">
        <w:t>ed</w:t>
      </w:r>
      <w:r w:rsidR="00640A59" w:rsidRPr="006C35CE">
        <w:t xml:space="preserve"> that the prohibited grounds for discrimination appear to differ from one law to another and </w:t>
      </w:r>
      <w:r w:rsidR="002866FD" w:rsidRPr="006C35CE">
        <w:t xml:space="preserve">existing legislation does </w:t>
      </w:r>
      <w:r w:rsidR="00640A59" w:rsidRPr="006C35CE">
        <w:t>not afford protection against discrimination on all the grounds pro</w:t>
      </w:r>
      <w:r w:rsidR="00EA708C" w:rsidRPr="006C35CE">
        <w:t>hibited under the Covenant</w:t>
      </w:r>
      <w:r w:rsidR="00F658E6">
        <w:t xml:space="preserve"> (arts. 2 and 26).</w:t>
      </w:r>
      <w:proofErr w:type="gramEnd"/>
    </w:p>
    <w:p w14:paraId="6360CECF" w14:textId="7D3C83FF" w:rsidR="004A3449" w:rsidRDefault="00640A59" w:rsidP="00640A59">
      <w:pPr>
        <w:pStyle w:val="SingleTxtG"/>
        <w:rPr>
          <w:b/>
        </w:rPr>
      </w:pPr>
      <w:proofErr w:type="gramStart"/>
      <w:r w:rsidRPr="006C35CE">
        <w:rPr>
          <w:b/>
        </w:rPr>
        <w:t>The State party should take all the measures necessary to ensure that its legal framework</w:t>
      </w:r>
      <w:r w:rsidR="006D289A">
        <w:rPr>
          <w:b/>
        </w:rPr>
        <w:t xml:space="preserve">: (a) </w:t>
      </w:r>
      <w:r w:rsidRPr="006C35CE">
        <w:rPr>
          <w:b/>
        </w:rPr>
        <w:t xml:space="preserve">provides full and effective protection against discrimination in all spheres, including in the private sphere, prohibits direct, indirect and multiple discrimination; (b) contains a comprehensive list of grounds for discrimination, </w:t>
      </w:r>
      <w:r w:rsidRPr="006D289A">
        <w:rPr>
          <w:b/>
        </w:rPr>
        <w:t xml:space="preserve">including </w:t>
      </w:r>
      <w:r w:rsidRPr="00565EB7">
        <w:rPr>
          <w:b/>
        </w:rPr>
        <w:t>colour</w:t>
      </w:r>
      <w:r w:rsidRPr="006D289A">
        <w:rPr>
          <w:b/>
        </w:rPr>
        <w:t xml:space="preserve">, </w:t>
      </w:r>
      <w:r w:rsidRPr="00565EB7">
        <w:rPr>
          <w:b/>
        </w:rPr>
        <w:t>political or other opinion</w:t>
      </w:r>
      <w:r w:rsidRPr="006D289A">
        <w:rPr>
          <w:b/>
        </w:rPr>
        <w:t xml:space="preserve">, </w:t>
      </w:r>
      <w:r w:rsidRPr="00565EB7">
        <w:rPr>
          <w:b/>
        </w:rPr>
        <w:t>national origin</w:t>
      </w:r>
      <w:r w:rsidRPr="006D289A">
        <w:rPr>
          <w:b/>
        </w:rPr>
        <w:t xml:space="preserve">, </w:t>
      </w:r>
      <w:r w:rsidRPr="00565EB7">
        <w:rPr>
          <w:b/>
        </w:rPr>
        <w:t>property</w:t>
      </w:r>
      <w:r w:rsidRPr="006D289A">
        <w:rPr>
          <w:b/>
        </w:rPr>
        <w:t xml:space="preserve">, </w:t>
      </w:r>
      <w:r w:rsidRPr="00565EB7">
        <w:rPr>
          <w:b/>
        </w:rPr>
        <w:t>birth or other status</w:t>
      </w:r>
      <w:r w:rsidRPr="006D289A">
        <w:rPr>
          <w:b/>
        </w:rPr>
        <w:t xml:space="preserve">, </w:t>
      </w:r>
      <w:r w:rsidR="00737EC9">
        <w:rPr>
          <w:b/>
        </w:rPr>
        <w:t>and</w:t>
      </w:r>
      <w:r w:rsidRPr="006D289A">
        <w:rPr>
          <w:b/>
        </w:rPr>
        <w:t xml:space="preserve"> </w:t>
      </w:r>
      <w:r w:rsidRPr="00565EB7">
        <w:rPr>
          <w:b/>
        </w:rPr>
        <w:t>sexual orientation</w:t>
      </w:r>
      <w:r w:rsidRPr="006D289A">
        <w:rPr>
          <w:b/>
        </w:rPr>
        <w:t xml:space="preserve"> and </w:t>
      </w:r>
      <w:r w:rsidRPr="00565EB7">
        <w:rPr>
          <w:b/>
        </w:rPr>
        <w:t>gender identity</w:t>
      </w:r>
      <w:r w:rsidRPr="006D289A">
        <w:rPr>
          <w:b/>
        </w:rPr>
        <w:t>;</w:t>
      </w:r>
      <w:r w:rsidRPr="006C35CE">
        <w:rPr>
          <w:b/>
        </w:rPr>
        <w:t xml:space="preserve"> (c) provides for effective  remedies in case of violations.</w:t>
      </w:r>
      <w:proofErr w:type="gramEnd"/>
    </w:p>
    <w:p w14:paraId="7E78BB7E" w14:textId="0171A512" w:rsidR="004E70AE" w:rsidRPr="004E70AE" w:rsidRDefault="00616298" w:rsidP="004E70AE">
      <w:pPr>
        <w:spacing w:after="120"/>
        <w:ind w:left="1134" w:right="1134"/>
        <w:jc w:val="both"/>
      </w:pPr>
      <w:r>
        <w:t>7.</w:t>
      </w:r>
      <w:r>
        <w:tab/>
      </w:r>
      <w:r w:rsidR="004E70AE" w:rsidRPr="004E70AE">
        <w:t xml:space="preserve">The Committee remains concerned about reports of discrimination, harassment and violence, including by law enforcement officials, against lesbian, gay, bisexual and transgender (LGBT) individuals. It is further concerned that consensual sexual activities between adult males continue to </w:t>
      </w:r>
      <w:proofErr w:type="gramStart"/>
      <w:r w:rsidR="004E70AE" w:rsidRPr="004E70AE">
        <w:t>be criminalized</w:t>
      </w:r>
      <w:proofErr w:type="gramEnd"/>
      <w:r w:rsidR="004E70AE" w:rsidRPr="004E70AE">
        <w:t xml:space="preserve"> under article 120 of the Criminal Code (arts. 2, 7, 17 and 26).  </w:t>
      </w:r>
    </w:p>
    <w:p w14:paraId="78BDDAF0" w14:textId="77777777" w:rsidR="004E70AE" w:rsidRPr="004E70AE" w:rsidRDefault="004E70AE" w:rsidP="004E70AE">
      <w:pPr>
        <w:spacing w:after="120"/>
        <w:ind w:left="1134" w:right="1134"/>
        <w:jc w:val="both"/>
      </w:pPr>
      <w:r w:rsidRPr="004E70AE">
        <w:rPr>
          <w:b/>
        </w:rPr>
        <w:t>The Committee reiterates its previous recommendation (CCPR/C/UZB/CO/3, para. 22).</w:t>
      </w:r>
      <w:r w:rsidRPr="004E70AE">
        <w:t xml:space="preserve"> </w:t>
      </w:r>
      <w:r w:rsidRPr="004E70AE">
        <w:rPr>
          <w:b/>
        </w:rPr>
        <w:t>The State party should take effective measures to combat any form of social stigmatization, hate speech, discrimination or violence against persons based on their sexual orientation or gender identity. It should ensure the investigation, prosecution and punishment of such violent acts and should repeal article 120 of the Criminal Code in line with its obligations under the Covenant.</w:t>
      </w:r>
    </w:p>
    <w:p w14:paraId="2685274B" w14:textId="7FD64FD1" w:rsidR="004E70AE" w:rsidRPr="004E70AE" w:rsidRDefault="00616298" w:rsidP="004E70AE">
      <w:pPr>
        <w:spacing w:after="120"/>
        <w:ind w:left="1134" w:right="1134"/>
        <w:jc w:val="both"/>
      </w:pPr>
      <w:r>
        <w:t>8.</w:t>
      </w:r>
      <w:r>
        <w:tab/>
      </w:r>
      <w:r w:rsidR="004E70AE" w:rsidRPr="004E70AE">
        <w:t xml:space="preserve">The Committee is concerned about the lack of progress in adopting a law on equal rights and opportunities for women and men. It is further concerned about cases of forced and early marriage and bride abductions, especially in rural areas, and </w:t>
      </w:r>
      <w:r w:rsidR="004E70AE" w:rsidRPr="004E70AE">
        <w:rPr>
          <w:lang w:bidi="he-IL"/>
        </w:rPr>
        <w:t xml:space="preserve">persistence of </w:t>
      </w:r>
      <w:r w:rsidR="004E70AE" w:rsidRPr="004E70AE">
        <w:t xml:space="preserve">de facto polygamy, despite the legal prohibition against such practices (arts. 2, 3, 23, 24 and 26). </w:t>
      </w:r>
    </w:p>
    <w:p w14:paraId="5D4136B2" w14:textId="77777777" w:rsidR="004E70AE" w:rsidRPr="004E70AE" w:rsidRDefault="004E70AE" w:rsidP="004E70AE">
      <w:pPr>
        <w:spacing w:after="120"/>
        <w:ind w:left="1134" w:right="1134"/>
        <w:jc w:val="both"/>
        <w:rPr>
          <w:b/>
        </w:rPr>
      </w:pPr>
      <w:r w:rsidRPr="004E70AE">
        <w:rPr>
          <w:b/>
        </w:rPr>
        <w:t xml:space="preserve">The State party should adopt, without undue delay, a law on equal rights and opportunities for women and men and take </w:t>
      </w:r>
      <w:proofErr w:type="gramStart"/>
      <w:r w:rsidRPr="004E70AE">
        <w:rPr>
          <w:b/>
        </w:rPr>
        <w:t>more robust measures to ensure gender equality, both in law and in practice,</w:t>
      </w:r>
      <w:proofErr w:type="gramEnd"/>
      <w:r w:rsidRPr="004E70AE">
        <w:rPr>
          <w:b/>
        </w:rPr>
        <w:t xml:space="preserve"> including by:</w:t>
      </w:r>
    </w:p>
    <w:p w14:paraId="29DC2B53" w14:textId="77777777" w:rsidR="004E70AE" w:rsidRPr="004E70AE" w:rsidRDefault="004E70AE" w:rsidP="004E70AE">
      <w:pPr>
        <w:spacing w:after="120"/>
        <w:ind w:left="1134" w:right="1134"/>
        <w:jc w:val="both"/>
        <w:rPr>
          <w:b/>
        </w:rPr>
      </w:pPr>
      <w:r w:rsidRPr="004E70AE">
        <w:rPr>
          <w:b/>
        </w:rPr>
        <w:lastRenderedPageBreak/>
        <w:tab/>
        <w:t>(a)</w:t>
      </w:r>
      <w:r w:rsidRPr="004E70AE">
        <w:rPr>
          <w:b/>
        </w:rPr>
        <w:tab/>
        <w:t xml:space="preserve">Developing strategies to combat patriarchal attitudes and stereotypes on the roles and responsibilities of women and men in the family and </w:t>
      </w:r>
      <w:proofErr w:type="gramStart"/>
      <w:r w:rsidRPr="004E70AE">
        <w:rPr>
          <w:b/>
        </w:rPr>
        <w:t>society at large</w:t>
      </w:r>
      <w:proofErr w:type="gramEnd"/>
      <w:r w:rsidRPr="004E70AE">
        <w:rPr>
          <w:b/>
        </w:rPr>
        <w:t>;</w:t>
      </w:r>
    </w:p>
    <w:p w14:paraId="7E76CEC3" w14:textId="77777777" w:rsidR="004E70AE" w:rsidRPr="004E70AE" w:rsidRDefault="004E70AE" w:rsidP="004E70AE">
      <w:pPr>
        <w:spacing w:after="120"/>
        <w:ind w:left="1134" w:right="1134"/>
        <w:jc w:val="both"/>
        <w:rPr>
          <w:b/>
        </w:rPr>
      </w:pPr>
      <w:r w:rsidRPr="004E70AE">
        <w:rPr>
          <w:b/>
        </w:rPr>
        <w:tab/>
        <w:t>(b)</w:t>
      </w:r>
      <w:r w:rsidRPr="004E70AE">
        <w:rPr>
          <w:b/>
        </w:rPr>
        <w:tab/>
        <w:t xml:space="preserve">Strengthening efforts to achieve equitable representation of women in the judiciary, and legislative and executive bodies, including in decision-making positions, within specific </w:t>
      </w:r>
      <w:proofErr w:type="gramStart"/>
      <w:r w:rsidRPr="004E70AE">
        <w:rPr>
          <w:b/>
        </w:rPr>
        <w:t>time frames</w:t>
      </w:r>
      <w:proofErr w:type="gramEnd"/>
      <w:r w:rsidRPr="004E70AE">
        <w:rPr>
          <w:b/>
        </w:rPr>
        <w:t>;</w:t>
      </w:r>
    </w:p>
    <w:p w14:paraId="2EE71736" w14:textId="77777777" w:rsidR="004E70AE" w:rsidRPr="004E70AE" w:rsidRDefault="004E70AE" w:rsidP="004E70AE">
      <w:pPr>
        <w:spacing w:after="120"/>
        <w:ind w:left="1134" w:right="1134"/>
        <w:jc w:val="both"/>
        <w:rPr>
          <w:b/>
        </w:rPr>
      </w:pPr>
      <w:r w:rsidRPr="004E70AE">
        <w:rPr>
          <w:b/>
        </w:rPr>
        <w:tab/>
        <w:t>(c)</w:t>
      </w:r>
      <w:r w:rsidRPr="004E70AE">
        <w:rPr>
          <w:b/>
        </w:rPr>
        <w:tab/>
        <w:t>Ensuring effective enforcement of legal provisions prohibiting forced and early marriage and bride abductions</w:t>
      </w:r>
      <w:proofErr w:type="gramStart"/>
      <w:r w:rsidRPr="004E70AE">
        <w:rPr>
          <w:b/>
        </w:rPr>
        <w:t>;</w:t>
      </w:r>
      <w:proofErr w:type="gramEnd"/>
    </w:p>
    <w:p w14:paraId="72723C92" w14:textId="77777777" w:rsidR="004E70AE" w:rsidRPr="004E70AE" w:rsidRDefault="004E70AE" w:rsidP="004E70AE">
      <w:pPr>
        <w:spacing w:after="120"/>
        <w:ind w:left="1134" w:right="1134"/>
        <w:jc w:val="both"/>
        <w:rPr>
          <w:b/>
        </w:rPr>
      </w:pPr>
      <w:r w:rsidRPr="004E70AE">
        <w:rPr>
          <w:b/>
        </w:rPr>
        <w:tab/>
      </w:r>
      <w:proofErr w:type="gramStart"/>
      <w:r w:rsidRPr="004E70AE">
        <w:rPr>
          <w:b/>
        </w:rPr>
        <w:t>(d)</w:t>
      </w:r>
      <w:r w:rsidRPr="004E70AE">
        <w:rPr>
          <w:b/>
        </w:rPr>
        <w:tab/>
        <w:t>Eliminating all forms of polygamy, in law and in practice.</w:t>
      </w:r>
      <w:proofErr w:type="gramEnd"/>
      <w:r w:rsidRPr="004E70AE">
        <w:rPr>
          <w:b/>
        </w:rPr>
        <w:t xml:space="preserve"> </w:t>
      </w:r>
    </w:p>
    <w:p w14:paraId="238A9198" w14:textId="77777777" w:rsidR="004E70AE" w:rsidRPr="004E70AE" w:rsidRDefault="004E70AE" w:rsidP="004E70AE">
      <w:pPr>
        <w:spacing w:after="120"/>
        <w:ind w:left="1134" w:right="1134"/>
        <w:jc w:val="both"/>
        <w:rPr>
          <w:b/>
        </w:rPr>
      </w:pPr>
      <w:r w:rsidRPr="004E70AE">
        <w:rPr>
          <w:b/>
        </w:rPr>
        <w:t>Domestic violence</w:t>
      </w:r>
    </w:p>
    <w:p w14:paraId="16004512" w14:textId="50F04ACE" w:rsidR="004E70AE" w:rsidRPr="004E70AE" w:rsidRDefault="00616298" w:rsidP="004E70AE">
      <w:pPr>
        <w:spacing w:after="120"/>
        <w:ind w:left="1134" w:right="1134"/>
        <w:jc w:val="both"/>
      </w:pPr>
      <w:proofErr w:type="gramStart"/>
      <w:r>
        <w:t>9.</w:t>
      </w:r>
      <w:r>
        <w:tab/>
      </w:r>
      <w:r w:rsidR="004E70AE" w:rsidRPr="004E70AE">
        <w:t>The C</w:t>
      </w:r>
      <w:r w:rsidR="005B1017">
        <w:t>ommittee remains concerned (</w:t>
      </w:r>
      <w:r w:rsidR="004E70AE" w:rsidRPr="004E70AE">
        <w:t>CCPR/C/UZB/CO/3, para. 13) that violence against women, including domestic violence, continues to be regarded as a family matter and remains largely underreported owing in particular to the lack of due diligence of law enforcement officers in registering and investigating such complaints and to the absence of adequate and sufficient protection measures and support services for victims, including medical, social and legal services, as well as accommodation or shelters.</w:t>
      </w:r>
      <w:proofErr w:type="gramEnd"/>
      <w:r w:rsidR="004E70AE" w:rsidRPr="004E70AE">
        <w:t xml:space="preserve"> The Committee is further concerned about the lack of specific legislation criminalizing domestic violence and marital rape (arts. 2, 3, 7 and 26). </w:t>
      </w:r>
    </w:p>
    <w:p w14:paraId="236676A4" w14:textId="77777777" w:rsidR="004E70AE" w:rsidRPr="004E70AE" w:rsidRDefault="004E70AE" w:rsidP="004E70AE">
      <w:pPr>
        <w:spacing w:after="120"/>
        <w:ind w:left="1134" w:right="1134"/>
        <w:jc w:val="both"/>
        <w:rPr>
          <w:b/>
        </w:rPr>
      </w:pPr>
      <w:r w:rsidRPr="004E70AE">
        <w:rPr>
          <w:b/>
        </w:rPr>
        <w:t>The State party should strengthen its efforts to prevent and combat all forms of domestic violence, including by adopting without undue delay a law criminalizing domestic violence and marital rape and ensuring its effective implementation. It should also:</w:t>
      </w:r>
    </w:p>
    <w:p w14:paraId="2CE246C6" w14:textId="77777777" w:rsidR="004E70AE" w:rsidRPr="004E70AE" w:rsidRDefault="004E70AE" w:rsidP="004E70AE">
      <w:pPr>
        <w:spacing w:after="120"/>
        <w:ind w:left="1134" w:right="1134"/>
        <w:jc w:val="both"/>
        <w:rPr>
          <w:b/>
        </w:rPr>
      </w:pPr>
      <w:r w:rsidRPr="004E70AE">
        <w:rPr>
          <w:b/>
        </w:rPr>
        <w:tab/>
        <w:t>(a)</w:t>
      </w:r>
      <w:r w:rsidRPr="004E70AE">
        <w:rPr>
          <w:b/>
        </w:rPr>
        <w:tab/>
        <w:t>Ensure that law enforcement officers, the judiciary, social workers and medical staff receive appropriate training on how to detect and deal with cases of violence against women</w:t>
      </w:r>
      <w:proofErr w:type="gramStart"/>
      <w:r w:rsidRPr="004E70AE">
        <w:rPr>
          <w:b/>
        </w:rPr>
        <w:t>;</w:t>
      </w:r>
      <w:proofErr w:type="gramEnd"/>
    </w:p>
    <w:p w14:paraId="7FC1E18F" w14:textId="0315613B" w:rsidR="004E70AE" w:rsidRPr="004E70AE" w:rsidRDefault="004E70AE" w:rsidP="004E70AE">
      <w:pPr>
        <w:tabs>
          <w:tab w:val="left" w:pos="7041"/>
        </w:tabs>
        <w:spacing w:after="120"/>
        <w:ind w:left="1134" w:right="1134" w:firstLine="567"/>
        <w:jc w:val="both"/>
        <w:rPr>
          <w:b/>
        </w:rPr>
      </w:pPr>
      <w:r w:rsidRPr="004E70AE">
        <w:rPr>
          <w:b/>
        </w:rPr>
        <w:t>(b)    Strengthen awareness-raising efforts with a view to widely sensitizing the public about the adverse impact of domestic violence, and encourage reporting of such cases</w:t>
      </w:r>
      <w:proofErr w:type="gramStart"/>
      <w:r w:rsidRPr="004E70AE">
        <w:rPr>
          <w:b/>
        </w:rPr>
        <w:t>;</w:t>
      </w:r>
      <w:proofErr w:type="gramEnd"/>
    </w:p>
    <w:p w14:paraId="1FF66433" w14:textId="333B40C0" w:rsidR="004E70AE" w:rsidRPr="006C35CE" w:rsidRDefault="004E70AE" w:rsidP="004320CB">
      <w:pPr>
        <w:spacing w:after="120"/>
        <w:ind w:left="1134" w:right="1134"/>
        <w:jc w:val="both"/>
        <w:rPr>
          <w:b/>
        </w:rPr>
      </w:pPr>
      <w:r w:rsidRPr="004E70AE">
        <w:rPr>
          <w:b/>
        </w:rPr>
        <w:tab/>
        <w:t>(c)</w:t>
      </w:r>
      <w:r w:rsidRPr="004E70AE">
        <w:rPr>
          <w:b/>
        </w:rPr>
        <w:tab/>
        <w:t xml:space="preserve">Ensure that domestic violence cases are thoroughly investigated, that perpetrators </w:t>
      </w:r>
      <w:proofErr w:type="gramStart"/>
      <w:r w:rsidRPr="004E70AE">
        <w:rPr>
          <w:b/>
        </w:rPr>
        <w:t>are prosecuted</w:t>
      </w:r>
      <w:proofErr w:type="gramEnd"/>
      <w:r w:rsidRPr="004E70AE">
        <w:rPr>
          <w:b/>
        </w:rPr>
        <w:t xml:space="preserve"> and, if convicted, punished with appropriate sanctions, and that victims have access to effective remedies and means of protection, including to accommodation or shelters in all parts of the country and other support services.</w:t>
      </w:r>
    </w:p>
    <w:p w14:paraId="1869702D" w14:textId="77777777" w:rsidR="00E4032C" w:rsidRDefault="001C78BE" w:rsidP="00E4032C">
      <w:pPr>
        <w:pStyle w:val="SingleTxtG"/>
        <w:rPr>
          <w:b/>
          <w:lang w:val="en-US"/>
        </w:rPr>
      </w:pPr>
      <w:r w:rsidRPr="006C35CE">
        <w:rPr>
          <w:b/>
          <w:lang w:val="en-US"/>
        </w:rPr>
        <w:t>Accountability for human rights violations in connection wi</w:t>
      </w:r>
      <w:r w:rsidR="00E4032C">
        <w:rPr>
          <w:b/>
          <w:lang w:val="en-US"/>
        </w:rPr>
        <w:t xml:space="preserve">th </w:t>
      </w:r>
      <w:proofErr w:type="spellStart"/>
      <w:r w:rsidR="00E4032C">
        <w:rPr>
          <w:b/>
          <w:lang w:val="en-US"/>
        </w:rPr>
        <w:t>Andijan</w:t>
      </w:r>
      <w:proofErr w:type="spellEnd"/>
      <w:r w:rsidR="00E4032C">
        <w:rPr>
          <w:b/>
          <w:lang w:val="en-US"/>
        </w:rPr>
        <w:t xml:space="preserve"> events </w:t>
      </w:r>
    </w:p>
    <w:p w14:paraId="200120B4" w14:textId="4782F0A6" w:rsidR="001C78BE" w:rsidRPr="00E4032C" w:rsidRDefault="00616298" w:rsidP="00E4032C">
      <w:pPr>
        <w:pStyle w:val="SingleTxtG"/>
        <w:rPr>
          <w:b/>
          <w:lang w:val="en-US"/>
        </w:rPr>
      </w:pPr>
      <w:proofErr w:type="gramStart"/>
      <w:r>
        <w:rPr>
          <w:lang w:val="en-US"/>
        </w:rPr>
        <w:t>10</w:t>
      </w:r>
      <w:r w:rsidR="00E4032C" w:rsidRPr="00E4032C">
        <w:rPr>
          <w:lang w:val="en-US"/>
        </w:rPr>
        <w:t>.</w:t>
      </w:r>
      <w:r w:rsidR="00E4032C" w:rsidRPr="00E4032C">
        <w:rPr>
          <w:lang w:val="en-US"/>
        </w:rPr>
        <w:tab/>
      </w:r>
      <w:r w:rsidR="001C78BE" w:rsidRPr="006C35CE">
        <w:rPr>
          <w:lang w:val="en-US"/>
        </w:rPr>
        <w:t>The C</w:t>
      </w:r>
      <w:r w:rsidR="00026975">
        <w:rPr>
          <w:lang w:val="en-US"/>
        </w:rPr>
        <w:t>ommittee remains concerned (</w:t>
      </w:r>
      <w:r w:rsidR="001C78BE" w:rsidRPr="006C35CE">
        <w:rPr>
          <w:lang w:val="en-US"/>
        </w:rPr>
        <w:t xml:space="preserve">CCPR/C/UZB/CO/3, para. 8) about the lack of </w:t>
      </w:r>
      <w:r w:rsidR="00A25A6B" w:rsidRPr="006C35CE">
        <w:rPr>
          <w:lang w:val="en-US"/>
        </w:rPr>
        <w:t xml:space="preserve">a full, independent </w:t>
      </w:r>
      <w:r w:rsidR="001C78BE" w:rsidRPr="006C35CE">
        <w:rPr>
          <w:lang w:val="en-US"/>
        </w:rPr>
        <w:t xml:space="preserve">and effective investigation into the </w:t>
      </w:r>
      <w:r w:rsidR="00660065" w:rsidRPr="006C35CE">
        <w:rPr>
          <w:lang w:val="en-US"/>
        </w:rPr>
        <w:t xml:space="preserve">mass killings, including of women and children, by military and security services </w:t>
      </w:r>
      <w:r w:rsidR="002866FD" w:rsidRPr="006C35CE">
        <w:rPr>
          <w:lang w:val="en-US"/>
        </w:rPr>
        <w:t xml:space="preserve">during the </w:t>
      </w:r>
      <w:proofErr w:type="spellStart"/>
      <w:r w:rsidR="002866FD" w:rsidRPr="006C35CE">
        <w:rPr>
          <w:lang w:val="en-US"/>
        </w:rPr>
        <w:t>Adijan</w:t>
      </w:r>
      <w:proofErr w:type="spellEnd"/>
      <w:r w:rsidR="002866FD" w:rsidRPr="006C35CE">
        <w:rPr>
          <w:lang w:val="en-US"/>
        </w:rPr>
        <w:t xml:space="preserve"> events in May 2005</w:t>
      </w:r>
      <w:r w:rsidR="001C78BE" w:rsidRPr="006C35CE">
        <w:rPr>
          <w:lang w:val="en-US"/>
        </w:rPr>
        <w:t xml:space="preserve">, and regrets the State party’s </w:t>
      </w:r>
      <w:r w:rsidR="001C7367">
        <w:rPr>
          <w:lang w:val="en-US" w:bidi="he-IL"/>
        </w:rPr>
        <w:t>assertion that</w:t>
      </w:r>
      <w:r w:rsidR="001C78BE" w:rsidRPr="006C35CE">
        <w:rPr>
          <w:lang w:val="en-US"/>
        </w:rPr>
        <w:t xml:space="preserve"> the matter</w:t>
      </w:r>
      <w:r w:rsidR="001C7367">
        <w:rPr>
          <w:lang w:val="en-US"/>
        </w:rPr>
        <w:t xml:space="preserve"> is closed and would not be revisited, citing </w:t>
      </w:r>
      <w:r w:rsidR="009F23FF">
        <w:rPr>
          <w:lang w:val="en-US"/>
        </w:rPr>
        <w:t xml:space="preserve">visits by </w:t>
      </w:r>
      <w:r w:rsidR="001C7367">
        <w:rPr>
          <w:lang w:val="en-US"/>
        </w:rPr>
        <w:t xml:space="preserve">two </w:t>
      </w:r>
      <w:r w:rsidR="009F23FF">
        <w:rPr>
          <w:lang w:val="en-US"/>
        </w:rPr>
        <w:t>international officials</w:t>
      </w:r>
      <w:r w:rsidR="001C7367">
        <w:rPr>
          <w:lang w:val="en-US"/>
        </w:rPr>
        <w:t xml:space="preserve"> without </w:t>
      </w:r>
      <w:r w:rsidR="009F23FF">
        <w:rPr>
          <w:lang w:val="en-US"/>
        </w:rPr>
        <w:t xml:space="preserve">effective </w:t>
      </w:r>
      <w:r w:rsidR="001C7367">
        <w:rPr>
          <w:lang w:val="en-US"/>
        </w:rPr>
        <w:t>investigative powers</w:t>
      </w:r>
      <w:r w:rsidR="001C78BE" w:rsidRPr="006C35CE">
        <w:rPr>
          <w:lang w:val="en-US"/>
        </w:rPr>
        <w:t>.</w:t>
      </w:r>
      <w:proofErr w:type="gramEnd"/>
      <w:r w:rsidR="001C78BE" w:rsidRPr="006C35CE">
        <w:rPr>
          <w:lang w:val="en-US"/>
        </w:rPr>
        <w:t xml:space="preserve"> It also regrets the lack of clear information on the revision of the regulations governing the use of firearms by law enforcement and se</w:t>
      </w:r>
      <w:r w:rsidR="00A25A6B" w:rsidRPr="006C35CE">
        <w:rPr>
          <w:lang w:val="en-US"/>
        </w:rPr>
        <w:t xml:space="preserve">curity forces (arts. 2 and 6). </w:t>
      </w:r>
    </w:p>
    <w:p w14:paraId="66505AC3" w14:textId="75389E64" w:rsidR="009B578C" w:rsidRPr="006C35CE" w:rsidRDefault="001C78BE" w:rsidP="001C78BE">
      <w:pPr>
        <w:pStyle w:val="SingleTxtG"/>
        <w:rPr>
          <w:b/>
          <w:lang w:val="en-US"/>
        </w:rPr>
      </w:pPr>
      <w:r w:rsidRPr="006C35CE">
        <w:rPr>
          <w:b/>
          <w:lang w:val="en-US"/>
        </w:rPr>
        <w:t xml:space="preserve">The State party should carry out an independent, impartial, thorough and effective investigation to ensure a full, transparent and credible account of the circumstances surrounding the 2005 </w:t>
      </w:r>
      <w:proofErr w:type="spellStart"/>
      <w:r w:rsidRPr="006C35CE">
        <w:rPr>
          <w:b/>
          <w:lang w:val="en-US"/>
        </w:rPr>
        <w:t>Andijan</w:t>
      </w:r>
      <w:proofErr w:type="spellEnd"/>
      <w:r w:rsidRPr="006C35CE">
        <w:rPr>
          <w:b/>
          <w:lang w:val="en-US"/>
        </w:rPr>
        <w:t xml:space="preserve"> events with a view to identifying, prosecuting and punishing perpetrators and providing remedies for victims. </w:t>
      </w:r>
      <w:r w:rsidR="00A5395B">
        <w:rPr>
          <w:b/>
          <w:lang w:val="en-US"/>
        </w:rPr>
        <w:t>It</w:t>
      </w:r>
      <w:r w:rsidRPr="006C35CE">
        <w:rPr>
          <w:b/>
          <w:lang w:val="en-US"/>
        </w:rPr>
        <w:t xml:space="preserve"> should also ensure that its regulations governing the use of firearms by law enforcement and security forces are fully compliant with the provisions of the Covenant </w:t>
      </w:r>
      <w:r w:rsidRPr="00F66EA1">
        <w:rPr>
          <w:b/>
          <w:lang w:val="en-US"/>
        </w:rPr>
        <w:t>and</w:t>
      </w:r>
      <w:r w:rsidR="00F66EA1">
        <w:rPr>
          <w:b/>
          <w:lang w:val="en-US"/>
        </w:rPr>
        <w:t xml:space="preserve"> in light of</w:t>
      </w:r>
      <w:r w:rsidRPr="006C35CE">
        <w:rPr>
          <w:b/>
          <w:lang w:val="en-US"/>
        </w:rPr>
        <w:t xml:space="preserve"> the Basic Principles on the Use of Force and Firearms by Law Enforcement Officials (1990).</w:t>
      </w:r>
    </w:p>
    <w:p w14:paraId="33B6EA55" w14:textId="77777777" w:rsidR="00C74B8A" w:rsidRDefault="00C74B8A" w:rsidP="00C74B8A">
      <w:pPr>
        <w:pStyle w:val="H23G"/>
        <w:rPr>
          <w:rFonts w:eastAsia="Calibri"/>
        </w:rPr>
      </w:pPr>
      <w:r w:rsidRPr="006C35CE">
        <w:rPr>
          <w:rFonts w:eastAsia="Calibri"/>
          <w:lang w:val="en-US" w:eastAsia="en-GB"/>
        </w:rPr>
        <w:lastRenderedPageBreak/>
        <w:tab/>
      </w:r>
      <w:r w:rsidRPr="006C35CE">
        <w:rPr>
          <w:rFonts w:eastAsia="Calibri"/>
          <w:lang w:val="en-US" w:eastAsia="en-GB"/>
        </w:rPr>
        <w:tab/>
      </w:r>
      <w:r w:rsidRPr="00545B47">
        <w:rPr>
          <w:rFonts w:eastAsia="Calibri"/>
          <w:lang w:val="en-US" w:eastAsia="en-GB"/>
        </w:rPr>
        <w:t xml:space="preserve">State of emergency and </w:t>
      </w:r>
      <w:r w:rsidR="00310692" w:rsidRPr="00545B47">
        <w:rPr>
          <w:rFonts w:eastAsia="Calibri"/>
        </w:rPr>
        <w:t>counter-terrorism</w:t>
      </w:r>
    </w:p>
    <w:p w14:paraId="0B4887DD" w14:textId="18215B44" w:rsidR="00C56C9A" w:rsidRDefault="00616298" w:rsidP="00C56C9A">
      <w:pPr>
        <w:pStyle w:val="SingleTxtG"/>
        <w:rPr>
          <w:rFonts w:eastAsia="Calibri"/>
          <w:lang w:val="en-US"/>
        </w:rPr>
      </w:pPr>
      <w:r>
        <w:rPr>
          <w:rFonts w:eastAsia="Calibri"/>
          <w:lang w:val="en-US"/>
        </w:rPr>
        <w:t>11</w:t>
      </w:r>
      <w:r w:rsidR="00C56C9A">
        <w:rPr>
          <w:rFonts w:eastAsia="Calibri"/>
          <w:lang w:val="en-US"/>
        </w:rPr>
        <w:t>.</w:t>
      </w:r>
      <w:r w:rsidR="00C56C9A">
        <w:rPr>
          <w:rFonts w:eastAsia="Calibri"/>
          <w:lang w:val="en-US"/>
        </w:rPr>
        <w:tab/>
      </w:r>
      <w:r w:rsidR="00545B47" w:rsidRPr="00545B47">
        <w:rPr>
          <w:rFonts w:eastAsia="Calibri"/>
          <w:lang w:val="en-US"/>
        </w:rPr>
        <w:t>The Committee</w:t>
      </w:r>
      <w:r w:rsidR="00A02BA0">
        <w:rPr>
          <w:rFonts w:eastAsia="Calibri"/>
          <w:lang w:val="en-US"/>
        </w:rPr>
        <w:t xml:space="preserve">, while noting that a </w:t>
      </w:r>
      <w:r w:rsidR="00A02BA0" w:rsidRPr="00A02BA0">
        <w:rPr>
          <w:rFonts w:eastAsia="Calibri"/>
          <w:lang w:val="en-US"/>
        </w:rPr>
        <w:t>draft State of Emergency Act has been prepared</w:t>
      </w:r>
      <w:r w:rsidR="00114895">
        <w:rPr>
          <w:rFonts w:eastAsia="Calibri"/>
          <w:lang w:val="en-US"/>
        </w:rPr>
        <w:t>,</w:t>
      </w:r>
      <w:r w:rsidR="00545B47" w:rsidRPr="00545B47">
        <w:rPr>
          <w:rFonts w:eastAsia="Calibri"/>
          <w:lang w:val="en-US"/>
        </w:rPr>
        <w:t xml:space="preserve"> remains concerned (CCPR/C/UZB/CO/3</w:t>
      </w:r>
      <w:r w:rsidR="009000B1">
        <w:rPr>
          <w:rFonts w:eastAsia="Calibri"/>
          <w:lang w:val="en-US"/>
        </w:rPr>
        <w:t xml:space="preserve">, para. 9) </w:t>
      </w:r>
      <w:r w:rsidR="00545B47" w:rsidRPr="00545B47">
        <w:rPr>
          <w:rFonts w:eastAsia="Calibri"/>
          <w:lang w:val="en-US"/>
        </w:rPr>
        <w:t>that existing regulations on states of emergency do not comply with article 4 of the Covenant</w:t>
      </w:r>
      <w:r w:rsidR="00FD247C">
        <w:rPr>
          <w:rFonts w:eastAsia="Calibri"/>
          <w:lang w:val="en-US"/>
        </w:rPr>
        <w:t xml:space="preserve">. </w:t>
      </w:r>
      <w:proofErr w:type="gramStart"/>
      <w:r w:rsidR="008D23CC">
        <w:rPr>
          <w:rFonts w:eastAsia="Calibri"/>
          <w:lang w:val="en-US"/>
        </w:rPr>
        <w:t xml:space="preserve">It also remains concerned </w:t>
      </w:r>
      <w:r w:rsidR="008D23CC" w:rsidRPr="008D23CC">
        <w:rPr>
          <w:rFonts w:eastAsia="Calibri"/>
          <w:lang w:val="en-US"/>
        </w:rPr>
        <w:t xml:space="preserve">(CCPR/C/UZB/CO/3, para. </w:t>
      </w:r>
      <w:r w:rsidR="00C56C9A">
        <w:rPr>
          <w:rFonts w:eastAsia="Calibri"/>
          <w:lang w:val="en-US"/>
        </w:rPr>
        <w:t>15</w:t>
      </w:r>
      <w:r w:rsidR="008D23CC" w:rsidRPr="008D23CC">
        <w:rPr>
          <w:rFonts w:eastAsia="Calibri"/>
          <w:lang w:val="en-US"/>
        </w:rPr>
        <w:t xml:space="preserve">) </w:t>
      </w:r>
      <w:r w:rsidR="00545B47" w:rsidRPr="00545B47">
        <w:rPr>
          <w:rFonts w:eastAsia="Calibri"/>
          <w:lang w:val="en-US"/>
        </w:rPr>
        <w:t>about</w:t>
      </w:r>
      <w:r w:rsidR="009000B1">
        <w:rPr>
          <w:rFonts w:eastAsia="Calibri"/>
          <w:lang w:val="en-US"/>
        </w:rPr>
        <w:t>:</w:t>
      </w:r>
      <w:r w:rsidR="00545B47" w:rsidRPr="00545B47">
        <w:rPr>
          <w:rFonts w:eastAsia="Calibri"/>
          <w:lang w:val="en-US"/>
        </w:rPr>
        <w:t xml:space="preserve"> (a) the overly-broad definition of terrorism and terrorist activities that is reportedly widely used to charge and prosecute members or suspected members of banned Islamic movements; (b) legal safeguards for persons suspected of, or charged with, a terrorist or related crime and allegations of incommunicado detention, torture and long prison sentences in inhuman and degrading conditions </w:t>
      </w:r>
      <w:r w:rsidR="009000B1">
        <w:rPr>
          <w:rFonts w:eastAsia="Calibri"/>
          <w:lang w:val="en-US"/>
        </w:rPr>
        <w:t xml:space="preserve">in respect of </w:t>
      </w:r>
      <w:r w:rsidR="00545B47" w:rsidRPr="00545B47">
        <w:rPr>
          <w:rFonts w:eastAsia="Calibri"/>
          <w:lang w:val="en-US"/>
        </w:rPr>
        <w:t>such persons (arts. 4, 7, 9, 10, 14, 18</w:t>
      </w:r>
      <w:r w:rsidR="007F13D6">
        <w:rPr>
          <w:rFonts w:eastAsia="Calibri"/>
          <w:lang w:val="en-US"/>
        </w:rPr>
        <w:t xml:space="preserve"> and</w:t>
      </w:r>
      <w:r w:rsidR="00545B47" w:rsidRPr="00545B47">
        <w:rPr>
          <w:rFonts w:eastAsia="Calibri"/>
          <w:lang w:val="en-US"/>
        </w:rPr>
        <w:t xml:space="preserve"> 19).</w:t>
      </w:r>
      <w:proofErr w:type="gramEnd"/>
      <w:r w:rsidR="00545B47" w:rsidRPr="00545B47">
        <w:rPr>
          <w:rFonts w:eastAsia="Calibri"/>
          <w:lang w:val="en-US"/>
        </w:rPr>
        <w:t xml:space="preserve"> </w:t>
      </w:r>
    </w:p>
    <w:p w14:paraId="7890D99C" w14:textId="77777777" w:rsidR="00545B47" w:rsidRPr="00C56C9A" w:rsidRDefault="00545B47" w:rsidP="00C56C9A">
      <w:pPr>
        <w:pStyle w:val="SingleTxtG"/>
        <w:rPr>
          <w:rFonts w:eastAsia="Calibri"/>
          <w:b/>
          <w:lang w:val="en-US"/>
        </w:rPr>
      </w:pPr>
      <w:r w:rsidRPr="00C56C9A">
        <w:rPr>
          <w:rFonts w:eastAsia="Calibri"/>
          <w:b/>
          <w:lang w:val="en-US"/>
        </w:rPr>
        <w:t>The State party should expedite the adoption of a law governing states of emergency and ensure its full compliance with the requirements of article 4 of the Covenant as interpreted in the Committee’s general comment No. 29. It should take all measures necessary to ensure that its counter-terrorism legislation and practices are in full conformity with its obligations under the Covenant, inter alia by</w:t>
      </w:r>
      <w:r w:rsidR="00C56C9A" w:rsidRPr="00C56C9A">
        <w:rPr>
          <w:rFonts w:eastAsia="Calibri"/>
          <w:b/>
          <w:lang w:val="en-US"/>
        </w:rPr>
        <w:t>:</w:t>
      </w:r>
    </w:p>
    <w:p w14:paraId="67F93BF1" w14:textId="77777777" w:rsidR="00545B47" w:rsidRPr="00081489" w:rsidRDefault="00081489" w:rsidP="00081489">
      <w:pPr>
        <w:pStyle w:val="SingleTxtG"/>
        <w:rPr>
          <w:rFonts w:eastAsia="Calibri"/>
          <w:b/>
        </w:rPr>
      </w:pPr>
      <w:r>
        <w:rPr>
          <w:rFonts w:eastAsia="Calibri"/>
          <w:b/>
        </w:rPr>
        <w:tab/>
      </w:r>
      <w:r w:rsidRPr="00081489">
        <w:rPr>
          <w:rFonts w:eastAsia="Calibri"/>
          <w:b/>
        </w:rPr>
        <w:t>(a)</w:t>
      </w:r>
      <w:r w:rsidRPr="00081489">
        <w:rPr>
          <w:rFonts w:eastAsia="Calibri"/>
          <w:b/>
        </w:rPr>
        <w:tab/>
      </w:r>
      <w:r w:rsidR="00E03BF9" w:rsidRPr="00081489">
        <w:rPr>
          <w:rFonts w:eastAsia="Calibri"/>
          <w:b/>
        </w:rPr>
        <w:t xml:space="preserve">Amending its </w:t>
      </w:r>
      <w:proofErr w:type="gramStart"/>
      <w:r w:rsidR="00E03BF9" w:rsidRPr="00081489">
        <w:rPr>
          <w:rFonts w:eastAsia="Calibri"/>
          <w:b/>
        </w:rPr>
        <w:t>overly-broad</w:t>
      </w:r>
      <w:proofErr w:type="gramEnd"/>
      <w:r w:rsidR="00E03BF9" w:rsidRPr="00081489">
        <w:rPr>
          <w:rFonts w:eastAsia="Calibri"/>
          <w:b/>
        </w:rPr>
        <w:t xml:space="preserve"> </w:t>
      </w:r>
      <w:r w:rsidR="00545B47" w:rsidRPr="00081489">
        <w:rPr>
          <w:rFonts w:eastAsia="Calibri"/>
          <w:b/>
        </w:rPr>
        <w:t>definition of terrorism and terrorist activities;</w:t>
      </w:r>
    </w:p>
    <w:p w14:paraId="5F7D7992" w14:textId="77777777" w:rsidR="00E4032C" w:rsidRPr="00081489" w:rsidRDefault="00081489" w:rsidP="00081489">
      <w:pPr>
        <w:pStyle w:val="SingleTxtG"/>
        <w:rPr>
          <w:rFonts w:eastAsia="Calibri"/>
          <w:b/>
        </w:rPr>
      </w:pPr>
      <w:r>
        <w:rPr>
          <w:rFonts w:eastAsia="Calibri"/>
          <w:b/>
        </w:rPr>
        <w:tab/>
      </w:r>
      <w:r w:rsidRPr="00081489">
        <w:rPr>
          <w:rFonts w:eastAsia="Calibri"/>
          <w:b/>
        </w:rPr>
        <w:t>(b)</w:t>
      </w:r>
      <w:r w:rsidRPr="00081489">
        <w:rPr>
          <w:rFonts w:eastAsia="Calibri"/>
          <w:b/>
        </w:rPr>
        <w:tab/>
      </w:r>
      <w:r w:rsidR="00545B47" w:rsidRPr="00081489">
        <w:rPr>
          <w:rFonts w:eastAsia="Calibri"/>
          <w:b/>
        </w:rPr>
        <w:t xml:space="preserve">Ensuring that persons suspected of, or charged with, a terrorist or related crime are provided in practice with all legal safeguards and that any restrictions on their rights are not arbitrary, are lawful, necessary and proportionate and are subject to </w:t>
      </w:r>
      <w:r w:rsidR="007F13D6" w:rsidRPr="00081489">
        <w:rPr>
          <w:rFonts w:eastAsia="Calibri"/>
          <w:b/>
        </w:rPr>
        <w:t xml:space="preserve">effective </w:t>
      </w:r>
      <w:r w:rsidR="00545B47" w:rsidRPr="00081489">
        <w:rPr>
          <w:rFonts w:eastAsia="Calibri"/>
          <w:b/>
        </w:rPr>
        <w:t>judicial oversight.</w:t>
      </w:r>
    </w:p>
    <w:p w14:paraId="6BADBAE4" w14:textId="77777777" w:rsidR="00F27D66" w:rsidRPr="006C35CE" w:rsidRDefault="00C74B8A" w:rsidP="006B0408">
      <w:pPr>
        <w:pStyle w:val="SingleTxtG"/>
        <w:rPr>
          <w:rFonts w:eastAsia="Calibri"/>
          <w:b/>
        </w:rPr>
      </w:pPr>
      <w:r w:rsidRPr="006C35CE">
        <w:rPr>
          <w:rFonts w:eastAsia="Calibri"/>
          <w:b/>
        </w:rPr>
        <w:t>Deaths in custody</w:t>
      </w:r>
    </w:p>
    <w:p w14:paraId="02E7A967" w14:textId="334E3555" w:rsidR="00F27D66" w:rsidRPr="006C35CE" w:rsidRDefault="00616298" w:rsidP="006B0408">
      <w:pPr>
        <w:pStyle w:val="SingleTxtG"/>
      </w:pPr>
      <w:r>
        <w:t>12</w:t>
      </w:r>
      <w:r w:rsidR="00E4032C">
        <w:t>.</w:t>
      </w:r>
      <w:r w:rsidR="00E4032C">
        <w:tab/>
      </w:r>
      <w:r w:rsidR="00F27D66" w:rsidRPr="006C35CE">
        <w:t xml:space="preserve">The Committee is concerned about </w:t>
      </w:r>
      <w:r w:rsidR="0011675F">
        <w:t>reports</w:t>
      </w:r>
      <w:r w:rsidR="00F27D66" w:rsidRPr="006C35CE">
        <w:t xml:space="preserve"> of deaths in custody and denial of adequate medical care. It is </w:t>
      </w:r>
      <w:r w:rsidR="008C1EB1">
        <w:t xml:space="preserve">also </w:t>
      </w:r>
      <w:r w:rsidR="00F27D66" w:rsidRPr="006C35CE">
        <w:t>concerned about the lack of effective and independent investigations into such cases</w:t>
      </w:r>
      <w:r w:rsidR="007B3C58" w:rsidRPr="006C35CE">
        <w:t xml:space="preserve"> </w:t>
      </w:r>
      <w:r w:rsidR="00F27D66" w:rsidRPr="006C35CE">
        <w:t>(art</w:t>
      </w:r>
      <w:r w:rsidR="00703D1C">
        <w:t>s</w:t>
      </w:r>
      <w:r w:rsidR="00F27D66" w:rsidRPr="006C35CE">
        <w:t>. 2 and 6).</w:t>
      </w:r>
    </w:p>
    <w:p w14:paraId="2C269884" w14:textId="6C8B22A4" w:rsidR="00F27D66" w:rsidRPr="00081489" w:rsidRDefault="00F27D66" w:rsidP="00D87D97">
      <w:pPr>
        <w:pStyle w:val="SingleTxtG"/>
        <w:rPr>
          <w:b/>
        </w:rPr>
      </w:pPr>
      <w:proofErr w:type="gramStart"/>
      <w:r w:rsidRPr="006C35CE">
        <w:rPr>
          <w:b/>
          <w:bCs/>
        </w:rPr>
        <w:t>The State party should abide by its obligation to respect and protect the right to life of individuals in custody</w:t>
      </w:r>
      <w:r w:rsidR="008C1EB1">
        <w:rPr>
          <w:b/>
          <w:bCs/>
        </w:rPr>
        <w:t xml:space="preserve"> by</w:t>
      </w:r>
      <w:r w:rsidR="00680CFD">
        <w:rPr>
          <w:b/>
          <w:bCs/>
        </w:rPr>
        <w:t>,</w:t>
      </w:r>
      <w:r w:rsidR="008C1EB1">
        <w:rPr>
          <w:b/>
          <w:bCs/>
        </w:rPr>
        <w:t xml:space="preserve"> </w:t>
      </w:r>
      <w:r w:rsidRPr="006C35CE">
        <w:rPr>
          <w:b/>
          <w:bCs/>
        </w:rPr>
        <w:t>inter alia</w:t>
      </w:r>
      <w:r w:rsidR="00956DFC">
        <w:rPr>
          <w:b/>
          <w:bCs/>
        </w:rPr>
        <w:t>,</w:t>
      </w:r>
      <w:r w:rsidR="001A65A2">
        <w:rPr>
          <w:b/>
          <w:bCs/>
        </w:rPr>
        <w:t xml:space="preserve"> t</w:t>
      </w:r>
      <w:r w:rsidR="001A65A2" w:rsidRPr="001A65A2">
        <w:rPr>
          <w:b/>
          <w:bCs/>
        </w:rPr>
        <w:t>aking appropriate measures to address the underlying causes of deaths in custody</w:t>
      </w:r>
      <w:r w:rsidR="006B1A52">
        <w:rPr>
          <w:b/>
          <w:bCs/>
        </w:rPr>
        <w:t>;</w:t>
      </w:r>
      <w:r w:rsidR="001A65A2">
        <w:rPr>
          <w:b/>
          <w:bCs/>
        </w:rPr>
        <w:t xml:space="preserve"> </w:t>
      </w:r>
      <w:r w:rsidR="001A65A2" w:rsidRPr="001A65A2">
        <w:rPr>
          <w:b/>
          <w:bCs/>
        </w:rPr>
        <w:t>ensuring prompt access to adequate medical care</w:t>
      </w:r>
      <w:r w:rsidR="006B1A52">
        <w:rPr>
          <w:b/>
          <w:bCs/>
        </w:rPr>
        <w:t>;</w:t>
      </w:r>
      <w:r w:rsidR="001A65A2">
        <w:rPr>
          <w:b/>
          <w:bCs/>
        </w:rPr>
        <w:t xml:space="preserve"> and </w:t>
      </w:r>
      <w:r w:rsidR="001A65A2">
        <w:rPr>
          <w:b/>
        </w:rPr>
        <w:t>t</w:t>
      </w:r>
      <w:r w:rsidR="00680CFD" w:rsidRPr="00081489">
        <w:rPr>
          <w:b/>
        </w:rPr>
        <w:t>aking</w:t>
      </w:r>
      <w:r w:rsidRPr="00081489">
        <w:rPr>
          <w:b/>
        </w:rPr>
        <w:t xml:space="preserve"> immediate steps to ensure that cases of death in custody are promptly investigated by an independent and impartial body</w:t>
      </w:r>
      <w:r w:rsidR="009C6A86" w:rsidRPr="00081489">
        <w:rPr>
          <w:b/>
        </w:rPr>
        <w:t>, including by ordering forensic medical examinations</w:t>
      </w:r>
      <w:r w:rsidR="00897879">
        <w:rPr>
          <w:b/>
        </w:rPr>
        <w:t>,</w:t>
      </w:r>
      <w:r w:rsidR="007C7A2A">
        <w:rPr>
          <w:b/>
          <w:lang w:bidi="he-IL"/>
        </w:rPr>
        <w:t xml:space="preserve"> and by ensuring that</w:t>
      </w:r>
      <w:r w:rsidR="007C7A2A" w:rsidRPr="00081489">
        <w:rPr>
          <w:b/>
        </w:rPr>
        <w:t xml:space="preserve"> </w:t>
      </w:r>
      <w:r w:rsidRPr="00081489">
        <w:rPr>
          <w:b/>
        </w:rPr>
        <w:t xml:space="preserve">victims’ families are properly informed at </w:t>
      </w:r>
      <w:r w:rsidR="00897879">
        <w:rPr>
          <w:b/>
        </w:rPr>
        <w:t>all stages of the investigation</w:t>
      </w:r>
      <w:r w:rsidRPr="00081489">
        <w:rPr>
          <w:b/>
        </w:rPr>
        <w:t xml:space="preserve"> </w:t>
      </w:r>
      <w:r w:rsidR="0070695A" w:rsidRPr="00081489">
        <w:rPr>
          <w:b/>
        </w:rPr>
        <w:t xml:space="preserve">and </w:t>
      </w:r>
      <w:r w:rsidRPr="00081489">
        <w:rPr>
          <w:b/>
        </w:rPr>
        <w:t>that perpetrators are brought to justice</w:t>
      </w:r>
      <w:r w:rsidR="001F1171">
        <w:rPr>
          <w:b/>
        </w:rPr>
        <w:t>.</w:t>
      </w:r>
      <w:proofErr w:type="gramEnd"/>
      <w:r w:rsidRPr="00081489">
        <w:rPr>
          <w:b/>
        </w:rPr>
        <w:t xml:space="preserve"> </w:t>
      </w:r>
    </w:p>
    <w:p w14:paraId="5FB5DC11" w14:textId="77777777" w:rsidR="00726590" w:rsidRPr="006C35CE" w:rsidRDefault="00081489" w:rsidP="00081489">
      <w:pPr>
        <w:pStyle w:val="H23G"/>
      </w:pPr>
      <w:r>
        <w:tab/>
      </w:r>
      <w:r>
        <w:tab/>
      </w:r>
      <w:r w:rsidR="003E5B53" w:rsidRPr="006C35CE">
        <w:t>Torture</w:t>
      </w:r>
    </w:p>
    <w:p w14:paraId="5EC8627F" w14:textId="07E635F5" w:rsidR="00726590" w:rsidRPr="006C35CE" w:rsidRDefault="00616298" w:rsidP="006B0408">
      <w:pPr>
        <w:pStyle w:val="SingleTxtG"/>
      </w:pPr>
      <w:proofErr w:type="gramStart"/>
      <w:r>
        <w:t>13</w:t>
      </w:r>
      <w:r w:rsidR="00E4032C">
        <w:t>.</w:t>
      </w:r>
      <w:r w:rsidR="00E4032C">
        <w:tab/>
      </w:r>
      <w:r w:rsidR="00726590" w:rsidRPr="006C35CE">
        <w:t>The C</w:t>
      </w:r>
      <w:r w:rsidR="00680CFD">
        <w:t>ommittee remains concerned</w:t>
      </w:r>
      <w:r w:rsidR="00726590" w:rsidRPr="006C35CE">
        <w:t xml:space="preserve"> that the definition of torture contained in the criminal legislation, including article 235 of the Criminal Code, does not meet the requirements of article 7 of the Covenant, as </w:t>
      </w:r>
      <w:r w:rsidR="00726590" w:rsidRPr="00DD4693">
        <w:t>it is</w:t>
      </w:r>
      <w:r w:rsidR="00607CB3" w:rsidRPr="00DD4693">
        <w:t xml:space="preserve"> limited </w:t>
      </w:r>
      <w:r w:rsidR="00DD4693">
        <w:t xml:space="preserve">to illegal acts committed </w:t>
      </w:r>
      <w:r w:rsidR="00DD4693" w:rsidRPr="00DD4693">
        <w:t xml:space="preserve">with the purpose </w:t>
      </w:r>
      <w:r w:rsidR="00FD03ED">
        <w:t>of</w:t>
      </w:r>
      <w:r w:rsidR="00DD4693" w:rsidRPr="00DD4693">
        <w:t xml:space="preserve"> coerc</w:t>
      </w:r>
      <w:r w:rsidR="00FD03ED">
        <w:t>ing</w:t>
      </w:r>
      <w:r w:rsidR="00DD4693" w:rsidRPr="00DD4693">
        <w:t xml:space="preserve"> testimony </w:t>
      </w:r>
      <w:r w:rsidR="00DD4693">
        <w:t xml:space="preserve">and </w:t>
      </w:r>
      <w:r w:rsidR="00557B08">
        <w:t xml:space="preserve">therefore in practice is </w:t>
      </w:r>
      <w:r w:rsidR="00726590" w:rsidRPr="006C35CE">
        <w:t xml:space="preserve">restricted to acts of torture committed only by a person carrying out an initial inquiry or </w:t>
      </w:r>
      <w:proofErr w:type="spellStart"/>
      <w:r w:rsidR="00726590" w:rsidRPr="006C35CE">
        <w:t>pretrial</w:t>
      </w:r>
      <w:proofErr w:type="spellEnd"/>
      <w:r w:rsidR="00726590" w:rsidRPr="006C35CE">
        <w:t xml:space="preserve"> investigation, a procurator or other employee of a law-enforcement agency</w:t>
      </w:r>
      <w:r w:rsidR="00B95864">
        <w:rPr>
          <w:lang w:bidi="he-IL"/>
        </w:rPr>
        <w:t>,</w:t>
      </w:r>
      <w:r w:rsidR="00726590" w:rsidRPr="006C35CE">
        <w:t xml:space="preserve"> and </w:t>
      </w:r>
      <w:r w:rsidR="00B95864">
        <w:rPr>
          <w:lang w:bidi="he-IL"/>
        </w:rPr>
        <w:t>results in</w:t>
      </w:r>
      <w:r w:rsidR="00726590" w:rsidRPr="006C35CE">
        <w:t xml:space="preserve"> impunity </w:t>
      </w:r>
      <w:r w:rsidR="00AD07A4">
        <w:t>for other persons</w:t>
      </w:r>
      <w:r w:rsidR="00726590" w:rsidRPr="006C35CE">
        <w:t xml:space="preserve">, </w:t>
      </w:r>
      <w:r w:rsidR="006530C7">
        <w:t>including</w:t>
      </w:r>
      <w:r w:rsidR="00726590" w:rsidRPr="006C35CE">
        <w:t xml:space="preserve"> detainees and prisoners</w:t>
      </w:r>
      <w:r w:rsidR="00574AE0">
        <w:t>.</w:t>
      </w:r>
      <w:proofErr w:type="gramEnd"/>
      <w:r w:rsidR="00285AB9">
        <w:t xml:space="preserve"> </w:t>
      </w:r>
      <w:r w:rsidR="00726590" w:rsidRPr="006C35CE">
        <w:t xml:space="preserve">The Committee is also concerned that the State party continues to grant amnesties to persons who </w:t>
      </w:r>
      <w:proofErr w:type="gramStart"/>
      <w:r w:rsidR="00726590" w:rsidRPr="006C35CE">
        <w:t>have been convicted</w:t>
      </w:r>
      <w:proofErr w:type="gramEnd"/>
      <w:r w:rsidR="00726590" w:rsidRPr="006C35CE">
        <w:t xml:space="preserve"> of torture or ill-treatment under article 235 of the Criminal Code (arts. 2 and 7).</w:t>
      </w:r>
    </w:p>
    <w:p w14:paraId="487798AC" w14:textId="1B83CE46" w:rsidR="0014760D" w:rsidRDefault="00726590" w:rsidP="006B0408">
      <w:pPr>
        <w:pStyle w:val="SingleTxtG"/>
        <w:rPr>
          <w:b/>
        </w:rPr>
      </w:pPr>
      <w:proofErr w:type="gramStart"/>
      <w:r w:rsidRPr="006C35CE">
        <w:rPr>
          <w:b/>
        </w:rPr>
        <w:t>The Committee reiterates its previous recommendation (CCPR/C/UZB/CO/3, para. 10)</w:t>
      </w:r>
      <w:r w:rsidR="00B95864">
        <w:rPr>
          <w:b/>
          <w:lang w:bidi="he-IL"/>
        </w:rPr>
        <w:t xml:space="preserve"> and urges t</w:t>
      </w:r>
      <w:r w:rsidRPr="006C35CE">
        <w:rPr>
          <w:b/>
        </w:rPr>
        <w:t>he State party</w:t>
      </w:r>
      <w:r w:rsidR="00B95864">
        <w:rPr>
          <w:b/>
          <w:lang w:bidi="he-IL"/>
        </w:rPr>
        <w:t xml:space="preserve">, </w:t>
      </w:r>
      <w:r w:rsidRPr="006C35CE">
        <w:rPr>
          <w:b/>
        </w:rPr>
        <w:t xml:space="preserve">as a matter of </w:t>
      </w:r>
      <w:r w:rsidR="0020141D">
        <w:rPr>
          <w:b/>
        </w:rPr>
        <w:t>urgency</w:t>
      </w:r>
      <w:r w:rsidRPr="006C35CE">
        <w:rPr>
          <w:b/>
        </w:rPr>
        <w:t xml:space="preserve">, </w:t>
      </w:r>
      <w:r w:rsidR="00B95864">
        <w:rPr>
          <w:b/>
          <w:lang w:bidi="he-IL"/>
        </w:rPr>
        <w:t xml:space="preserve">to </w:t>
      </w:r>
      <w:r w:rsidRPr="006C35CE">
        <w:rPr>
          <w:b/>
        </w:rPr>
        <w:t xml:space="preserve">amend </w:t>
      </w:r>
      <w:r w:rsidRPr="006C35CE">
        <w:rPr>
          <w:b/>
          <w:bCs/>
          <w:lang w:val="en-US"/>
        </w:rPr>
        <w:t>its criminal legislation, including article 235 of its Criminal Code,</w:t>
      </w:r>
      <w:r w:rsidR="00285AB9">
        <w:rPr>
          <w:b/>
          <w:bCs/>
          <w:lang w:val="en-US"/>
        </w:rPr>
        <w:t xml:space="preserve"> </w:t>
      </w:r>
      <w:r w:rsidR="00D43802">
        <w:rPr>
          <w:b/>
          <w:bCs/>
          <w:lang w:val="en-US"/>
        </w:rPr>
        <w:t>w</w:t>
      </w:r>
      <w:proofErr w:type="spellStart"/>
      <w:r w:rsidRPr="006C35CE">
        <w:rPr>
          <w:b/>
        </w:rPr>
        <w:t>ith</w:t>
      </w:r>
      <w:proofErr w:type="spellEnd"/>
      <w:r w:rsidRPr="006C35CE">
        <w:rPr>
          <w:b/>
        </w:rPr>
        <w:t xml:space="preserve"> a view to ensuring that the definition of torture </w:t>
      </w:r>
      <w:r w:rsidR="00574AE0">
        <w:rPr>
          <w:b/>
        </w:rPr>
        <w:t xml:space="preserve">is in full compliance with article 1 of the Convention against Torture and </w:t>
      </w:r>
      <w:r w:rsidR="00DA4F73">
        <w:rPr>
          <w:b/>
        </w:rPr>
        <w:t xml:space="preserve">with </w:t>
      </w:r>
      <w:r w:rsidR="00574AE0">
        <w:rPr>
          <w:b/>
        </w:rPr>
        <w:t xml:space="preserve">article 7 of the Covenant and </w:t>
      </w:r>
      <w:r w:rsidR="00557B08">
        <w:rPr>
          <w:b/>
        </w:rPr>
        <w:t>is applied to</w:t>
      </w:r>
      <w:r w:rsidRPr="006C35CE">
        <w:rPr>
          <w:b/>
        </w:rPr>
        <w:t xml:space="preserve"> acts committed by all persons acting in their official capacity, outside their official capacity or in a private </w:t>
      </w:r>
      <w:r w:rsidRPr="006C35CE">
        <w:rPr>
          <w:b/>
        </w:rPr>
        <w:lastRenderedPageBreak/>
        <w:t>capacity</w:t>
      </w:r>
      <w:r w:rsidR="00B3711D">
        <w:rPr>
          <w:b/>
        </w:rPr>
        <w:t xml:space="preserve"> </w:t>
      </w:r>
      <w:r w:rsidR="00F27F28">
        <w:rPr>
          <w:b/>
        </w:rPr>
        <w:t>when</w:t>
      </w:r>
      <w:r w:rsidRPr="006C35CE">
        <w:rPr>
          <w:b/>
        </w:rPr>
        <w:t xml:space="preserve"> </w:t>
      </w:r>
      <w:r w:rsidR="00D2710E">
        <w:rPr>
          <w:b/>
        </w:rPr>
        <w:t xml:space="preserve">the </w:t>
      </w:r>
      <w:r w:rsidRPr="006C35CE">
        <w:rPr>
          <w:b/>
        </w:rPr>
        <w:t xml:space="preserve">acts of torture </w:t>
      </w:r>
      <w:r w:rsidR="00F27F28">
        <w:rPr>
          <w:b/>
        </w:rPr>
        <w:t xml:space="preserve">are </w:t>
      </w:r>
      <w:r w:rsidRPr="006C35CE">
        <w:rPr>
          <w:b/>
        </w:rPr>
        <w:t>committed at the instigation of, or with the consent or acquiescence of, a public official or other person acting in an official capacity.</w:t>
      </w:r>
      <w:proofErr w:type="gramEnd"/>
      <w:r w:rsidRPr="006C35CE">
        <w:rPr>
          <w:b/>
        </w:rPr>
        <w:t xml:space="preserve"> The State party should also </w:t>
      </w:r>
      <w:r w:rsidR="00F27F28">
        <w:rPr>
          <w:b/>
        </w:rPr>
        <w:t>end</w:t>
      </w:r>
      <w:r w:rsidRPr="006C35CE">
        <w:rPr>
          <w:b/>
        </w:rPr>
        <w:t xml:space="preserve"> the practice of granting amnesties to persons convicted of torture or ill-treatment</w:t>
      </w:r>
      <w:r w:rsidR="0020141D">
        <w:rPr>
          <w:b/>
        </w:rPr>
        <w:t>,</w:t>
      </w:r>
      <w:r w:rsidRPr="006C35CE">
        <w:rPr>
          <w:b/>
        </w:rPr>
        <w:t xml:space="preserve"> which is incompatible with its obligations under article 7 of the Covenant</w:t>
      </w:r>
      <w:r w:rsidR="00972BB0">
        <w:rPr>
          <w:b/>
        </w:rPr>
        <w:t>.</w:t>
      </w:r>
    </w:p>
    <w:p w14:paraId="2F28E5F6" w14:textId="347A6620" w:rsidR="00C61726" w:rsidRPr="006C35CE" w:rsidRDefault="00616298" w:rsidP="00A02548">
      <w:pPr>
        <w:pStyle w:val="SingleTxtG"/>
      </w:pPr>
      <w:proofErr w:type="gramStart"/>
      <w:r>
        <w:t>14</w:t>
      </w:r>
      <w:r w:rsidR="00E4032C">
        <w:t>.</w:t>
      </w:r>
      <w:r w:rsidR="00E4032C">
        <w:tab/>
      </w:r>
      <w:r w:rsidR="00C61726" w:rsidRPr="006C35CE">
        <w:t>The C</w:t>
      </w:r>
      <w:r w:rsidR="000978E4">
        <w:t xml:space="preserve">ommittee remains concerned </w:t>
      </w:r>
      <w:r w:rsidR="00C61726" w:rsidRPr="006C35CE">
        <w:t>about reports that</w:t>
      </w:r>
      <w:r w:rsidR="00574AE0">
        <w:t xml:space="preserve"> t</w:t>
      </w:r>
      <w:r w:rsidR="00C61726" w:rsidRPr="006C35CE">
        <w:t>orture continue</w:t>
      </w:r>
      <w:r w:rsidR="0020141D">
        <w:t>s</w:t>
      </w:r>
      <w:r w:rsidR="00C61726" w:rsidRPr="006C35CE">
        <w:t xml:space="preserve"> to be routinely used throughout the criminal justice system</w:t>
      </w:r>
      <w:r w:rsidR="00574AE0">
        <w:t xml:space="preserve">; </w:t>
      </w:r>
      <w:r w:rsidR="0070695A">
        <w:t>that</w:t>
      </w:r>
      <w:r w:rsidR="00345F58">
        <w:rPr>
          <w:lang w:bidi="he-IL"/>
        </w:rPr>
        <w:t>,</w:t>
      </w:r>
      <w:r w:rsidR="0070695A">
        <w:t xml:space="preserve"> </w:t>
      </w:r>
      <w:r w:rsidR="00574AE0" w:rsidRPr="00574AE0">
        <w:t>despite the existing legal prohibition</w:t>
      </w:r>
      <w:r w:rsidR="00345F58">
        <w:rPr>
          <w:lang w:bidi="he-IL"/>
        </w:rPr>
        <w:t xml:space="preserve">, </w:t>
      </w:r>
      <w:r w:rsidR="00345F58">
        <w:t>f</w:t>
      </w:r>
      <w:r w:rsidR="00345F58" w:rsidRPr="006C35CE">
        <w:t>orced confessions</w:t>
      </w:r>
      <w:r w:rsidR="00C61726" w:rsidRPr="006C35CE">
        <w:t xml:space="preserve"> are in prac</w:t>
      </w:r>
      <w:r w:rsidR="0070695A">
        <w:t>tice used as evidence in court,</w:t>
      </w:r>
      <w:r w:rsidR="00C61726" w:rsidRPr="006C35CE">
        <w:t xml:space="preserve"> and </w:t>
      </w:r>
      <w:r w:rsidR="0020141D">
        <w:t xml:space="preserve">that </w:t>
      </w:r>
      <w:r w:rsidR="00C61726" w:rsidRPr="006C35CE">
        <w:t>judges fail to order investigations into allegations of forced confessions even when signs of torture are visible;</w:t>
      </w:r>
      <w:r w:rsidR="00574AE0">
        <w:t xml:space="preserve"> that p</w:t>
      </w:r>
      <w:r w:rsidR="00C61726" w:rsidRPr="006C35CE">
        <w:t>ersons complaining of torture are subject</w:t>
      </w:r>
      <w:r w:rsidR="00D43802">
        <w:t>ed</w:t>
      </w:r>
      <w:r w:rsidR="00C61726" w:rsidRPr="006C35CE">
        <w:t xml:space="preserve"> to reprisals and family members are often intimidated and threatened to ensure that complaints are retracted;</w:t>
      </w:r>
      <w:r w:rsidR="00574AE0">
        <w:t xml:space="preserve"> and that </w:t>
      </w:r>
      <w:r w:rsidR="00376715" w:rsidRPr="00376715">
        <w:t xml:space="preserve">the rate of prosecution is very low </w:t>
      </w:r>
      <w:r w:rsidR="00376715">
        <w:t xml:space="preserve">and </w:t>
      </w:r>
      <w:r w:rsidR="00C61726" w:rsidRPr="006C35CE">
        <w:t>impun</w:t>
      </w:r>
      <w:r w:rsidR="00376715">
        <w:t>ity is prevalent</w:t>
      </w:r>
      <w:r w:rsidR="00B3711D">
        <w:t xml:space="preserve"> (arts. 2, </w:t>
      </w:r>
      <w:r w:rsidR="00710027">
        <w:t>7 and 14)</w:t>
      </w:r>
      <w:r w:rsidR="00972BB0">
        <w:t>.</w:t>
      </w:r>
      <w:proofErr w:type="gramEnd"/>
      <w:r w:rsidR="00376715">
        <w:t xml:space="preserve"> </w:t>
      </w:r>
    </w:p>
    <w:p w14:paraId="4F0AE249" w14:textId="77777777" w:rsidR="00C61726" w:rsidRPr="006C35CE" w:rsidRDefault="00C61726" w:rsidP="006B0408">
      <w:pPr>
        <w:pStyle w:val="SingleTxtG"/>
        <w:rPr>
          <w:b/>
          <w:bCs/>
        </w:rPr>
      </w:pPr>
      <w:r w:rsidRPr="006C35CE">
        <w:rPr>
          <w:b/>
        </w:rPr>
        <w:t>The Committee reiterates</w:t>
      </w:r>
      <w:r w:rsidR="000978E4">
        <w:rPr>
          <w:b/>
        </w:rPr>
        <w:t xml:space="preserve"> its pervious recommendations (</w:t>
      </w:r>
      <w:r w:rsidRPr="006C35CE">
        <w:rPr>
          <w:b/>
        </w:rPr>
        <w:t xml:space="preserve">CCPR/C/UZB/CO/3, para. 11). The State party should </w:t>
      </w:r>
      <w:r w:rsidRPr="006C35CE">
        <w:rPr>
          <w:rFonts w:eastAsia="Calibri"/>
          <w:b/>
        </w:rPr>
        <w:t xml:space="preserve">take robust measures to eradicate torture and ill-treatment, </w:t>
      </w:r>
      <w:proofErr w:type="gramStart"/>
      <w:r w:rsidRPr="006C35CE">
        <w:rPr>
          <w:b/>
          <w:bCs/>
        </w:rPr>
        <w:t>inter alia by</w:t>
      </w:r>
      <w:proofErr w:type="gramEnd"/>
      <w:r w:rsidRPr="006C35CE">
        <w:rPr>
          <w:b/>
          <w:bCs/>
        </w:rPr>
        <w:t>:</w:t>
      </w:r>
    </w:p>
    <w:p w14:paraId="6F97F524" w14:textId="77777777" w:rsidR="00574AE0" w:rsidRPr="00081489" w:rsidRDefault="00081489" w:rsidP="00081489">
      <w:pPr>
        <w:pStyle w:val="SingleTxtG"/>
        <w:rPr>
          <w:b/>
        </w:rPr>
      </w:pPr>
      <w:r>
        <w:rPr>
          <w:b/>
        </w:rPr>
        <w:tab/>
      </w:r>
      <w:r w:rsidRPr="00081489">
        <w:rPr>
          <w:b/>
        </w:rPr>
        <w:t>(a)</w:t>
      </w:r>
      <w:r w:rsidRPr="00081489">
        <w:rPr>
          <w:b/>
        </w:rPr>
        <w:tab/>
      </w:r>
      <w:r w:rsidR="00574AE0" w:rsidRPr="00081489">
        <w:rPr>
          <w:b/>
        </w:rPr>
        <w:t>Conducting prompt, thorough, effective, independent and impartial investigations into all allegations of torture and ill-treatment, ensuring that perpetrators are prosecuted and, if convicted, are punished with adequate sanctions and that victims are provided with effective remedies, including appropriate compensation;</w:t>
      </w:r>
    </w:p>
    <w:p w14:paraId="33A45220" w14:textId="7E164C41" w:rsidR="00C61726" w:rsidRPr="00081489" w:rsidRDefault="00081489" w:rsidP="00081489">
      <w:pPr>
        <w:pStyle w:val="SingleTxtG"/>
        <w:rPr>
          <w:b/>
        </w:rPr>
      </w:pPr>
      <w:r>
        <w:rPr>
          <w:b/>
        </w:rPr>
        <w:tab/>
      </w:r>
      <w:r w:rsidRPr="00081489">
        <w:rPr>
          <w:b/>
        </w:rPr>
        <w:t>(b)</w:t>
      </w:r>
      <w:r w:rsidRPr="00081489">
        <w:rPr>
          <w:b/>
        </w:rPr>
        <w:tab/>
      </w:r>
      <w:r w:rsidR="00C61726" w:rsidRPr="00081489">
        <w:rPr>
          <w:b/>
          <w:bCs/>
        </w:rPr>
        <w:t xml:space="preserve">Establishing, as a matter of priority, a </w:t>
      </w:r>
      <w:r w:rsidR="00C61726" w:rsidRPr="00081489">
        <w:rPr>
          <w:b/>
        </w:rPr>
        <w:t>genuinely independent complaints mechanism to investigate allegations of torture or ill-treatment, and ensuring that complain</w:t>
      </w:r>
      <w:r w:rsidR="008F280E" w:rsidRPr="00081489">
        <w:rPr>
          <w:b/>
        </w:rPr>
        <w:t>an</w:t>
      </w:r>
      <w:r w:rsidR="00C61726" w:rsidRPr="00081489">
        <w:rPr>
          <w:b/>
        </w:rPr>
        <w:t xml:space="preserve">ts </w:t>
      </w:r>
      <w:proofErr w:type="gramStart"/>
      <w:r w:rsidR="008F280E" w:rsidRPr="00081489">
        <w:rPr>
          <w:b/>
        </w:rPr>
        <w:t>are protected</w:t>
      </w:r>
      <w:proofErr w:type="gramEnd"/>
      <w:r w:rsidR="008F280E" w:rsidRPr="00081489">
        <w:rPr>
          <w:b/>
        </w:rPr>
        <w:t xml:space="preserve"> against any form of </w:t>
      </w:r>
      <w:r w:rsidR="00C61726" w:rsidRPr="00081489">
        <w:rPr>
          <w:b/>
        </w:rPr>
        <w:t>reprisals;</w:t>
      </w:r>
    </w:p>
    <w:p w14:paraId="41EF6CC4" w14:textId="6965A569" w:rsidR="00C61726" w:rsidRPr="00081489" w:rsidRDefault="00081489" w:rsidP="00081489">
      <w:pPr>
        <w:pStyle w:val="SingleTxtG"/>
        <w:rPr>
          <w:b/>
        </w:rPr>
      </w:pPr>
      <w:r>
        <w:rPr>
          <w:b/>
        </w:rPr>
        <w:tab/>
      </w:r>
      <w:r w:rsidRPr="00081489">
        <w:rPr>
          <w:b/>
        </w:rPr>
        <w:t>(c)</w:t>
      </w:r>
      <w:r w:rsidRPr="00081489">
        <w:rPr>
          <w:b/>
        </w:rPr>
        <w:tab/>
      </w:r>
      <w:r w:rsidR="00C61726" w:rsidRPr="00081489">
        <w:rPr>
          <w:b/>
        </w:rPr>
        <w:t>Ensuring that</w:t>
      </w:r>
      <w:r w:rsidR="00A41057" w:rsidRPr="00081489">
        <w:rPr>
          <w:b/>
        </w:rPr>
        <w:t xml:space="preserve"> the prohibition</w:t>
      </w:r>
      <w:r w:rsidR="0020141D">
        <w:rPr>
          <w:b/>
        </w:rPr>
        <w:t>s</w:t>
      </w:r>
      <w:r w:rsidR="00A41057" w:rsidRPr="00081489">
        <w:rPr>
          <w:b/>
        </w:rPr>
        <w:t xml:space="preserve"> of</w:t>
      </w:r>
      <w:r w:rsidR="00C61726" w:rsidRPr="00081489">
        <w:rPr>
          <w:b/>
        </w:rPr>
        <w:t xml:space="preserve"> forced confessions and </w:t>
      </w:r>
      <w:r w:rsidR="00A41057" w:rsidRPr="00081489">
        <w:rPr>
          <w:b/>
        </w:rPr>
        <w:t xml:space="preserve">the inadmissibility of </w:t>
      </w:r>
      <w:r w:rsidR="00C61726" w:rsidRPr="00081489">
        <w:rPr>
          <w:b/>
        </w:rPr>
        <w:t>torture-tainted evidence</w:t>
      </w:r>
      <w:r w:rsidR="00D43802" w:rsidRPr="00081489">
        <w:rPr>
          <w:b/>
        </w:rPr>
        <w:t xml:space="preserve"> </w:t>
      </w:r>
      <w:proofErr w:type="gramStart"/>
      <w:r w:rsidR="00A41057" w:rsidRPr="00081489">
        <w:rPr>
          <w:b/>
          <w:lang w:val="en-US"/>
        </w:rPr>
        <w:t>are</w:t>
      </w:r>
      <w:r w:rsidR="00C61726" w:rsidRPr="00081489">
        <w:rPr>
          <w:b/>
          <w:lang w:val="en-US"/>
        </w:rPr>
        <w:t xml:space="preserve"> effectively enforced</w:t>
      </w:r>
      <w:proofErr w:type="gramEnd"/>
      <w:r w:rsidR="00C61726" w:rsidRPr="00081489">
        <w:rPr>
          <w:b/>
          <w:lang w:val="en-US"/>
        </w:rPr>
        <w:t xml:space="preserve"> in practice by law enforcement officers and by judges; </w:t>
      </w:r>
    </w:p>
    <w:p w14:paraId="192C7E90" w14:textId="1F06124A" w:rsidR="00C61726" w:rsidRPr="00081489" w:rsidRDefault="00081489" w:rsidP="00081489">
      <w:pPr>
        <w:pStyle w:val="SingleTxtG"/>
        <w:rPr>
          <w:b/>
        </w:rPr>
      </w:pPr>
      <w:r>
        <w:rPr>
          <w:b/>
        </w:rPr>
        <w:tab/>
      </w:r>
      <w:r w:rsidRPr="00081489">
        <w:rPr>
          <w:b/>
        </w:rPr>
        <w:t>(d)</w:t>
      </w:r>
      <w:r w:rsidRPr="00081489">
        <w:rPr>
          <w:b/>
        </w:rPr>
        <w:tab/>
      </w:r>
      <w:r w:rsidR="00C61726" w:rsidRPr="00081489">
        <w:rPr>
          <w:b/>
        </w:rPr>
        <w:t>R</w:t>
      </w:r>
      <w:proofErr w:type="spellStart"/>
      <w:r w:rsidR="0070695A" w:rsidRPr="00081489">
        <w:rPr>
          <w:b/>
          <w:bCs/>
          <w:lang w:val="en-US"/>
        </w:rPr>
        <w:t>eviewing</w:t>
      </w:r>
      <w:proofErr w:type="spellEnd"/>
      <w:r w:rsidR="0070695A" w:rsidRPr="00081489">
        <w:rPr>
          <w:b/>
          <w:bCs/>
          <w:lang w:val="en-US"/>
        </w:rPr>
        <w:t xml:space="preserve"> all criminal convictions</w:t>
      </w:r>
      <w:r w:rsidR="00C61726" w:rsidRPr="00081489">
        <w:rPr>
          <w:b/>
          <w:bCs/>
          <w:lang w:val="en-US"/>
        </w:rPr>
        <w:t xml:space="preserve"> based on allegedly forced confessions</w:t>
      </w:r>
      <w:r w:rsidR="00BA54FD">
        <w:rPr>
          <w:b/>
          <w:bCs/>
          <w:lang w:val="en-US" w:bidi="he-IL"/>
        </w:rPr>
        <w:t xml:space="preserve"> and providing effective remedy to </w:t>
      </w:r>
      <w:r w:rsidR="00BA54FD">
        <w:rPr>
          <w:rFonts w:hint="cs"/>
          <w:b/>
          <w:bCs/>
          <w:lang w:val="en-US" w:bidi="he-IL"/>
        </w:rPr>
        <w:t xml:space="preserve">persons who </w:t>
      </w:r>
      <w:proofErr w:type="gramStart"/>
      <w:r w:rsidR="00BA54FD">
        <w:rPr>
          <w:rFonts w:hint="cs"/>
          <w:b/>
          <w:bCs/>
          <w:lang w:val="en-US" w:bidi="he-IL"/>
        </w:rPr>
        <w:t>were wrongly convicted</w:t>
      </w:r>
      <w:proofErr w:type="gramEnd"/>
      <w:r w:rsidR="00C61726" w:rsidRPr="00081489">
        <w:rPr>
          <w:b/>
          <w:bCs/>
          <w:lang w:val="en-US"/>
        </w:rPr>
        <w:t xml:space="preserve">; </w:t>
      </w:r>
    </w:p>
    <w:p w14:paraId="5B00083E" w14:textId="77777777" w:rsidR="0070695A" w:rsidRPr="00081489" w:rsidRDefault="00081489" w:rsidP="00081489">
      <w:pPr>
        <w:pStyle w:val="SingleTxtG"/>
        <w:rPr>
          <w:b/>
        </w:rPr>
      </w:pPr>
      <w:r>
        <w:rPr>
          <w:b/>
        </w:rPr>
        <w:tab/>
      </w:r>
      <w:proofErr w:type="gramStart"/>
      <w:r w:rsidRPr="00081489">
        <w:rPr>
          <w:b/>
        </w:rPr>
        <w:t>(e)</w:t>
      </w:r>
      <w:r w:rsidRPr="00081489">
        <w:rPr>
          <w:b/>
        </w:rPr>
        <w:tab/>
      </w:r>
      <w:r w:rsidR="00574AE0" w:rsidRPr="00081489">
        <w:rPr>
          <w:b/>
        </w:rPr>
        <w:t>Ensuring mandatory audio-visual recording of all interrogations in every police station and place of deprivation of liberty.</w:t>
      </w:r>
      <w:proofErr w:type="gramEnd"/>
    </w:p>
    <w:p w14:paraId="2B4919A0" w14:textId="77777777" w:rsidR="003E5B53" w:rsidRPr="006B0408" w:rsidRDefault="00081489" w:rsidP="00081489">
      <w:pPr>
        <w:pStyle w:val="H23G"/>
        <w:rPr>
          <w:lang w:val="en-US"/>
        </w:rPr>
      </w:pPr>
      <w:r>
        <w:rPr>
          <w:lang w:val="en-US"/>
        </w:rPr>
        <w:tab/>
      </w:r>
      <w:r>
        <w:rPr>
          <w:lang w:val="en-US"/>
        </w:rPr>
        <w:tab/>
      </w:r>
      <w:r w:rsidR="003E5B53" w:rsidRPr="003E5B53">
        <w:rPr>
          <w:lang w:val="en-US"/>
        </w:rPr>
        <w:t>Liberty and security of person</w:t>
      </w:r>
    </w:p>
    <w:p w14:paraId="2E68E691" w14:textId="718EC3BC" w:rsidR="003E5B53" w:rsidRPr="00F53160" w:rsidRDefault="00616298" w:rsidP="006B0408">
      <w:pPr>
        <w:pStyle w:val="SingleTxtG"/>
      </w:pPr>
      <w:r>
        <w:rPr>
          <w:lang w:val="en-US"/>
        </w:rPr>
        <w:t>15</w:t>
      </w:r>
      <w:r w:rsidR="00E4032C">
        <w:rPr>
          <w:lang w:val="en-US"/>
        </w:rPr>
        <w:t>.</w:t>
      </w:r>
      <w:r w:rsidR="00E4032C">
        <w:rPr>
          <w:lang w:val="en-US"/>
        </w:rPr>
        <w:tab/>
      </w:r>
      <w:r w:rsidR="003E5B53" w:rsidRPr="00F53160">
        <w:rPr>
          <w:lang w:val="en-US"/>
        </w:rPr>
        <w:t xml:space="preserve">The Committee remains concerned that the State party retains the </w:t>
      </w:r>
      <w:r w:rsidR="003E5B53" w:rsidRPr="00F53160">
        <w:t xml:space="preserve">72-hour period of detention of persons suspected of having committed an offence before bringing them before a judge, and </w:t>
      </w:r>
      <w:r w:rsidR="000C4F19">
        <w:t xml:space="preserve">therefore </w:t>
      </w:r>
      <w:r w:rsidR="003E5B53" w:rsidRPr="00F53160">
        <w:t xml:space="preserve">welcomes the </w:t>
      </w:r>
      <w:r w:rsidR="003E5B53" w:rsidRPr="00F53160">
        <w:rPr>
          <w:lang w:val="en-US"/>
        </w:rPr>
        <w:t xml:space="preserve">State party’s statement that the </w:t>
      </w:r>
      <w:r w:rsidR="003E5B53" w:rsidRPr="00F53160">
        <w:t xml:space="preserve">length of custody </w:t>
      </w:r>
      <w:proofErr w:type="gramStart"/>
      <w:r w:rsidR="003E5B53" w:rsidRPr="00F53160">
        <w:t>may be reduced</w:t>
      </w:r>
      <w:proofErr w:type="gramEnd"/>
      <w:r w:rsidR="003E5B53" w:rsidRPr="00F53160">
        <w:t xml:space="preserve"> to 48 hours in the future. </w:t>
      </w:r>
      <w:proofErr w:type="gramStart"/>
      <w:r w:rsidR="003E5B53" w:rsidRPr="00F53160">
        <w:t>It is also concerned about deficiencies in the application of the legislation governing judicial control of detention (</w:t>
      </w:r>
      <w:r w:rsidR="003E5B53" w:rsidRPr="00F53160">
        <w:rPr>
          <w:i/>
        </w:rPr>
        <w:t>habeas corpus</w:t>
      </w:r>
      <w:r w:rsidR="003E5B53" w:rsidRPr="00F53160">
        <w:t>) in practice, particularly allegations of</w:t>
      </w:r>
      <w:r w:rsidR="008A285A">
        <w:t xml:space="preserve">: </w:t>
      </w:r>
      <w:r w:rsidR="003E5B53" w:rsidRPr="00F53160">
        <w:t xml:space="preserve">(a) forging the time or date of detention to </w:t>
      </w:r>
      <w:r w:rsidR="00B460BF">
        <w:rPr>
          <w:lang w:bidi="he-IL"/>
        </w:rPr>
        <w:t>circumvent</w:t>
      </w:r>
      <w:r w:rsidR="003E5B53" w:rsidRPr="00F53160">
        <w:t xml:space="preserve"> the legal period of detention: (b) habeas corpus hearings in the absence of the detainee, especially in politic</w:t>
      </w:r>
      <w:r w:rsidR="00CA4C29">
        <w:t>ally-</w:t>
      </w:r>
      <w:r w:rsidR="00BE2DEA">
        <w:rPr>
          <w:lang w:bidi="he-IL"/>
        </w:rPr>
        <w:t>related</w:t>
      </w:r>
      <w:r w:rsidR="00BE2DEA">
        <w:t xml:space="preserve"> </w:t>
      </w:r>
      <w:r w:rsidR="00CA4C29">
        <w:t>cases; (c</w:t>
      </w:r>
      <w:r w:rsidR="003E5B53" w:rsidRPr="00F53160">
        <w:t xml:space="preserve">) violations of the right of detainees to a lawyer, including to a lawyer of their choice, and deficient legal representation provided by </w:t>
      </w:r>
      <w:r w:rsidR="008A285A">
        <w:t>State-appointed defence lawyers</w:t>
      </w:r>
      <w:r w:rsidR="003E5B53" w:rsidRPr="00F53160">
        <w:t xml:space="preserve"> (art</w:t>
      </w:r>
      <w:r w:rsidR="000C4F19">
        <w:t>s</w:t>
      </w:r>
      <w:r w:rsidR="003E5B53" w:rsidRPr="00F53160">
        <w:t>. 9</w:t>
      </w:r>
      <w:r w:rsidR="000C4F19">
        <w:t xml:space="preserve"> and 14</w:t>
      </w:r>
      <w:r w:rsidR="003E5B53" w:rsidRPr="00F53160">
        <w:t>).</w:t>
      </w:r>
      <w:proofErr w:type="gramEnd"/>
      <w:r w:rsidR="003E5B53" w:rsidRPr="00F53160">
        <w:t xml:space="preserve">  </w:t>
      </w:r>
    </w:p>
    <w:p w14:paraId="0962218B" w14:textId="77777777" w:rsidR="003E5B53" w:rsidRPr="00F53160" w:rsidRDefault="003E5B53" w:rsidP="006B0408">
      <w:pPr>
        <w:pStyle w:val="SingleTxtG"/>
        <w:rPr>
          <w:b/>
        </w:rPr>
      </w:pPr>
      <w:r w:rsidRPr="00F53160">
        <w:rPr>
          <w:b/>
        </w:rPr>
        <w:t xml:space="preserve">The Committee reiterates its previous recommendation </w:t>
      </w:r>
      <w:r w:rsidRPr="00F53160">
        <w:rPr>
          <w:b/>
          <w:lang w:val="en-US"/>
        </w:rPr>
        <w:t xml:space="preserve">(CCPR/C/UZB/CO/3, para. 14). The </w:t>
      </w:r>
      <w:r w:rsidRPr="00F53160">
        <w:rPr>
          <w:b/>
        </w:rPr>
        <w:t>State party should bring its legislation and practices in compliance with article 9 of the Covenant, taking into account the Committee’s general comment No. 35 on liberty and security of persons. Inter alia, the State party should:</w:t>
      </w:r>
    </w:p>
    <w:p w14:paraId="14AD954F" w14:textId="77524128" w:rsidR="003E5B53" w:rsidRPr="00081489" w:rsidRDefault="00081489" w:rsidP="00081489">
      <w:pPr>
        <w:pStyle w:val="SingleTxtG"/>
        <w:rPr>
          <w:b/>
        </w:rPr>
      </w:pPr>
      <w:r>
        <w:rPr>
          <w:b/>
        </w:rPr>
        <w:lastRenderedPageBreak/>
        <w:tab/>
      </w:r>
      <w:r w:rsidRPr="00081489">
        <w:rPr>
          <w:b/>
        </w:rPr>
        <w:t>(a)</w:t>
      </w:r>
      <w:r w:rsidRPr="00081489">
        <w:rPr>
          <w:b/>
        </w:rPr>
        <w:tab/>
      </w:r>
      <w:r w:rsidR="000C4F19" w:rsidRPr="00081489">
        <w:rPr>
          <w:b/>
        </w:rPr>
        <w:t>R</w:t>
      </w:r>
      <w:r w:rsidR="003E5B53" w:rsidRPr="00081489">
        <w:rPr>
          <w:b/>
        </w:rPr>
        <w:t>educ</w:t>
      </w:r>
      <w:r w:rsidR="000C4F19" w:rsidRPr="00081489">
        <w:rPr>
          <w:b/>
        </w:rPr>
        <w:t>e</w:t>
      </w:r>
      <w:r w:rsidR="003E5B53" w:rsidRPr="00081489">
        <w:rPr>
          <w:b/>
        </w:rPr>
        <w:t xml:space="preserve"> the existing 72-hour </w:t>
      </w:r>
      <w:r w:rsidR="00B21C6B">
        <w:rPr>
          <w:b/>
        </w:rPr>
        <w:t xml:space="preserve">maximum </w:t>
      </w:r>
      <w:r w:rsidR="003E5B53" w:rsidRPr="00081489">
        <w:rPr>
          <w:b/>
        </w:rPr>
        <w:t>period of detention to 48 hours</w:t>
      </w:r>
      <w:r w:rsidR="009801D0">
        <w:rPr>
          <w:b/>
        </w:rPr>
        <w:t xml:space="preserve"> before a person</w:t>
      </w:r>
      <w:r w:rsidR="009801D0" w:rsidRPr="009801D0">
        <w:rPr>
          <w:b/>
        </w:rPr>
        <w:t xml:space="preserve"> suspected of an offence </w:t>
      </w:r>
      <w:r w:rsidR="009801D0">
        <w:rPr>
          <w:b/>
        </w:rPr>
        <w:t xml:space="preserve">is brought </w:t>
      </w:r>
      <w:r w:rsidR="009801D0" w:rsidRPr="009801D0">
        <w:rPr>
          <w:b/>
        </w:rPr>
        <w:t>before a judge</w:t>
      </w:r>
      <w:r w:rsidR="000F2EC3" w:rsidRPr="00081489">
        <w:rPr>
          <w:b/>
        </w:rPr>
        <w:t>; ensur</w:t>
      </w:r>
      <w:r w:rsidR="000F34C8" w:rsidRPr="00081489">
        <w:rPr>
          <w:b/>
        </w:rPr>
        <w:t>e</w:t>
      </w:r>
      <w:r w:rsidR="000F2EC3" w:rsidRPr="00081489">
        <w:rPr>
          <w:b/>
        </w:rPr>
        <w:t xml:space="preserve"> that the date and time of arrest is that of the actual apprehension and is accurately recorded</w:t>
      </w:r>
      <w:r w:rsidR="003E5B53" w:rsidRPr="00081489">
        <w:rPr>
          <w:rFonts w:eastAsia="Malgun Gothic"/>
          <w:b/>
        </w:rPr>
        <w:t>;</w:t>
      </w:r>
    </w:p>
    <w:p w14:paraId="6245B9EF" w14:textId="01A30EDF" w:rsidR="003E5B53" w:rsidRPr="00081489" w:rsidRDefault="00081489" w:rsidP="00081489">
      <w:pPr>
        <w:pStyle w:val="SingleTxtG"/>
        <w:rPr>
          <w:b/>
        </w:rPr>
      </w:pPr>
      <w:r>
        <w:rPr>
          <w:b/>
        </w:rPr>
        <w:tab/>
      </w:r>
      <w:r w:rsidRPr="00081489">
        <w:rPr>
          <w:b/>
        </w:rPr>
        <w:t>(b)</w:t>
      </w:r>
      <w:r w:rsidRPr="00081489">
        <w:rPr>
          <w:b/>
        </w:rPr>
        <w:tab/>
      </w:r>
      <w:r w:rsidR="003E5B53" w:rsidRPr="00081489">
        <w:rPr>
          <w:b/>
        </w:rPr>
        <w:t xml:space="preserve">Ensure that habeas corpus </w:t>
      </w:r>
      <w:r w:rsidR="00CF7BF7" w:rsidRPr="00081489">
        <w:rPr>
          <w:b/>
        </w:rPr>
        <w:t>provisions</w:t>
      </w:r>
      <w:r w:rsidR="003E5B53" w:rsidRPr="00081489">
        <w:rPr>
          <w:b/>
        </w:rPr>
        <w:t xml:space="preserve"> </w:t>
      </w:r>
      <w:r w:rsidR="00CF7BF7" w:rsidRPr="00081489">
        <w:rPr>
          <w:b/>
        </w:rPr>
        <w:t>are</w:t>
      </w:r>
      <w:r w:rsidR="003E5B53" w:rsidRPr="00081489">
        <w:rPr>
          <w:b/>
        </w:rPr>
        <w:t xml:space="preserve"> </w:t>
      </w:r>
      <w:r w:rsidR="00CF4586" w:rsidRPr="00081489">
        <w:rPr>
          <w:b/>
        </w:rPr>
        <w:t>strictly</w:t>
      </w:r>
      <w:r w:rsidR="003E5B53" w:rsidRPr="00081489">
        <w:rPr>
          <w:b/>
        </w:rPr>
        <w:t xml:space="preserve"> enforced in practice, including that the physical presence of the detainee during proceedings is secured, that access to </w:t>
      </w:r>
      <w:r w:rsidR="00FE2B9A">
        <w:rPr>
          <w:b/>
        </w:rPr>
        <w:t xml:space="preserve">a </w:t>
      </w:r>
      <w:r w:rsidR="003E5B53" w:rsidRPr="00081489">
        <w:rPr>
          <w:b/>
        </w:rPr>
        <w:t xml:space="preserve">lawyer of </w:t>
      </w:r>
      <w:r w:rsidR="00FE2B9A">
        <w:rPr>
          <w:b/>
        </w:rPr>
        <w:t xml:space="preserve">the person’s </w:t>
      </w:r>
      <w:r w:rsidR="003E5B53" w:rsidRPr="00081489">
        <w:rPr>
          <w:b/>
        </w:rPr>
        <w:t xml:space="preserve">own choosing is respected, and that </w:t>
      </w:r>
      <w:r w:rsidR="00E97808" w:rsidRPr="00081489">
        <w:rPr>
          <w:b/>
        </w:rPr>
        <w:t xml:space="preserve">legal representation </w:t>
      </w:r>
      <w:r w:rsidR="003E5B53" w:rsidRPr="00081489">
        <w:rPr>
          <w:b/>
        </w:rPr>
        <w:t>provided by State-appointed defence lawyers</w:t>
      </w:r>
      <w:r w:rsidR="00E97808" w:rsidRPr="00081489">
        <w:rPr>
          <w:b/>
        </w:rPr>
        <w:t xml:space="preserve"> is adequate</w:t>
      </w:r>
      <w:r w:rsidR="003E5B53" w:rsidRPr="00081489">
        <w:rPr>
          <w:b/>
        </w:rPr>
        <w:t>;</w:t>
      </w:r>
    </w:p>
    <w:p w14:paraId="27FAF58B" w14:textId="77777777" w:rsidR="003E5B53" w:rsidRPr="00081489" w:rsidRDefault="00081489" w:rsidP="00081489">
      <w:pPr>
        <w:pStyle w:val="SingleTxtG"/>
        <w:rPr>
          <w:b/>
        </w:rPr>
      </w:pPr>
      <w:r>
        <w:rPr>
          <w:b/>
        </w:rPr>
        <w:tab/>
      </w:r>
      <w:r w:rsidRPr="00081489">
        <w:rPr>
          <w:b/>
        </w:rPr>
        <w:t>(c)</w:t>
      </w:r>
      <w:r w:rsidRPr="00081489">
        <w:rPr>
          <w:b/>
        </w:rPr>
        <w:tab/>
      </w:r>
      <w:r w:rsidR="003E5B53" w:rsidRPr="00081489">
        <w:rPr>
          <w:b/>
        </w:rPr>
        <w:t xml:space="preserve">Enhance the use of alternative measures to </w:t>
      </w:r>
      <w:proofErr w:type="spellStart"/>
      <w:r w:rsidR="003E5B53" w:rsidRPr="00081489">
        <w:rPr>
          <w:b/>
        </w:rPr>
        <w:t>pretrial</w:t>
      </w:r>
      <w:proofErr w:type="spellEnd"/>
      <w:r w:rsidR="003E5B53" w:rsidRPr="00081489">
        <w:rPr>
          <w:b/>
        </w:rPr>
        <w:t xml:space="preserve"> detention. </w:t>
      </w:r>
    </w:p>
    <w:p w14:paraId="61AAA8AA" w14:textId="1D35EAAB" w:rsidR="00861200" w:rsidRDefault="00616298" w:rsidP="000E249D">
      <w:pPr>
        <w:pStyle w:val="SingleTxtG"/>
      </w:pPr>
      <w:r>
        <w:rPr>
          <w:lang w:val="en-US"/>
        </w:rPr>
        <w:t>16</w:t>
      </w:r>
      <w:r w:rsidR="00E4032C">
        <w:rPr>
          <w:lang w:val="en-US"/>
        </w:rPr>
        <w:t>.</w:t>
      </w:r>
      <w:r w:rsidR="00E4032C">
        <w:rPr>
          <w:lang w:val="en-US"/>
        </w:rPr>
        <w:tab/>
      </w:r>
      <w:r w:rsidR="00861200" w:rsidRPr="00927E21">
        <w:rPr>
          <w:lang w:val="en-US"/>
        </w:rPr>
        <w:t>The Committee remains concerned that</w:t>
      </w:r>
      <w:r w:rsidR="0029529C">
        <w:rPr>
          <w:lang w:val="en-US"/>
        </w:rPr>
        <w:t xml:space="preserve"> </w:t>
      </w:r>
      <w:r w:rsidR="00861200" w:rsidRPr="00927E21">
        <w:rPr>
          <w:lang w:val="en-US"/>
        </w:rPr>
        <w:t xml:space="preserve">the rights of </w:t>
      </w:r>
      <w:r w:rsidR="00861200">
        <w:t xml:space="preserve">persons deprived of </w:t>
      </w:r>
      <w:r w:rsidR="00861200" w:rsidRPr="00927E21">
        <w:t xml:space="preserve">liberty to </w:t>
      </w:r>
      <w:proofErr w:type="gramStart"/>
      <w:r w:rsidR="00861200" w:rsidRPr="00927E21">
        <w:t>be informed</w:t>
      </w:r>
      <w:proofErr w:type="gramEnd"/>
      <w:r w:rsidR="00861200" w:rsidRPr="00927E21">
        <w:t xml:space="preserve"> of their rights upon arrest, to notify </w:t>
      </w:r>
      <w:r w:rsidR="00FE2B9A">
        <w:t xml:space="preserve">relatives of </w:t>
      </w:r>
      <w:r w:rsidR="00861200" w:rsidRPr="00927E21">
        <w:t xml:space="preserve">their detention and to have access to a lawyer </w:t>
      </w:r>
      <w:r w:rsidR="006C5FFD" w:rsidRPr="006C5FFD">
        <w:t xml:space="preserve">of their choice </w:t>
      </w:r>
      <w:r w:rsidR="00861200" w:rsidRPr="00927E21">
        <w:t>and a doctor from the very outset of detention continue to be violated in practice (arts. 7 and 9).</w:t>
      </w:r>
    </w:p>
    <w:p w14:paraId="6B15736C" w14:textId="77777777" w:rsidR="00722F2B" w:rsidRDefault="00861200" w:rsidP="000E249D">
      <w:pPr>
        <w:pStyle w:val="SingleTxtG"/>
        <w:rPr>
          <w:b/>
        </w:rPr>
      </w:pPr>
      <w:r w:rsidRPr="00927E21">
        <w:rPr>
          <w:b/>
        </w:rPr>
        <w:t xml:space="preserve">The State party should ensure that all </w:t>
      </w:r>
      <w:r w:rsidRPr="00927E21">
        <w:rPr>
          <w:b/>
          <w:lang w:val="en-US"/>
        </w:rPr>
        <w:t xml:space="preserve">fundamental legal safeguards </w:t>
      </w:r>
      <w:proofErr w:type="gramStart"/>
      <w:r>
        <w:rPr>
          <w:b/>
          <w:lang w:val="en-US"/>
        </w:rPr>
        <w:t>are guaranteed</w:t>
      </w:r>
      <w:proofErr w:type="gramEnd"/>
      <w:r>
        <w:rPr>
          <w:b/>
          <w:lang w:val="en-US"/>
        </w:rPr>
        <w:t xml:space="preserve"> in practice to </w:t>
      </w:r>
      <w:r w:rsidRPr="00927E21">
        <w:rPr>
          <w:b/>
        </w:rPr>
        <w:t xml:space="preserve">all persons deprived of </w:t>
      </w:r>
      <w:r w:rsidR="001A686B">
        <w:rPr>
          <w:b/>
        </w:rPr>
        <w:t xml:space="preserve">their </w:t>
      </w:r>
      <w:r w:rsidRPr="00927E21">
        <w:rPr>
          <w:b/>
        </w:rPr>
        <w:t xml:space="preserve">liberty </w:t>
      </w:r>
      <w:r w:rsidRPr="00927E21">
        <w:rPr>
          <w:b/>
          <w:lang w:val="en-US"/>
        </w:rPr>
        <w:t xml:space="preserve">from the very outset of </w:t>
      </w:r>
      <w:r w:rsidRPr="00CF7BF7">
        <w:rPr>
          <w:b/>
          <w:lang w:val="en-US"/>
        </w:rPr>
        <w:t>detention</w:t>
      </w:r>
      <w:r w:rsidRPr="00CF7BF7">
        <w:rPr>
          <w:b/>
        </w:rPr>
        <w:t>.</w:t>
      </w:r>
      <w:r w:rsidRPr="00927E21">
        <w:rPr>
          <w:b/>
        </w:rPr>
        <w:t xml:space="preserve"> </w:t>
      </w:r>
    </w:p>
    <w:p w14:paraId="30F9E521" w14:textId="38785586" w:rsidR="00670325" w:rsidRPr="00670325" w:rsidRDefault="00616298" w:rsidP="00670325">
      <w:pPr>
        <w:pStyle w:val="SingleTxtG"/>
      </w:pPr>
      <w:proofErr w:type="gramStart"/>
      <w:r>
        <w:t>17</w:t>
      </w:r>
      <w:r w:rsidR="00670325">
        <w:t>.</w:t>
      </w:r>
      <w:r w:rsidR="00670325">
        <w:tab/>
      </w:r>
      <w:r w:rsidR="00670325" w:rsidRPr="00670325">
        <w:t xml:space="preserve">The Committee is concerned about the alleged practice of arbitrarily extending prison sentences </w:t>
      </w:r>
      <w:r w:rsidR="007A5001">
        <w:t xml:space="preserve">that are set to be completed </w:t>
      </w:r>
      <w:r w:rsidR="00670325" w:rsidRPr="00670325">
        <w:t>of human rights defenders, government critics, persons convicted of religious extremism or of membership in Islamic movements banned in the State party by prosecuting and convicting them for repeated violations of the prison rules under article 221 of the Criminal Code (arts. 9 and 14).</w:t>
      </w:r>
      <w:proofErr w:type="gramEnd"/>
      <w:r w:rsidR="00670325" w:rsidRPr="00670325">
        <w:t xml:space="preserve">  </w:t>
      </w:r>
    </w:p>
    <w:p w14:paraId="7DD7F63B" w14:textId="6F624D1C" w:rsidR="00670325" w:rsidRDefault="00670325" w:rsidP="00670325">
      <w:pPr>
        <w:pStyle w:val="SingleTxtG"/>
        <w:rPr>
          <w:b/>
        </w:rPr>
      </w:pPr>
      <w:r w:rsidRPr="00670325">
        <w:rPr>
          <w:b/>
        </w:rPr>
        <w:t xml:space="preserve">The State party should take all measures necessary to ensure that article 221 of the Criminal Code </w:t>
      </w:r>
      <w:proofErr w:type="gramStart"/>
      <w:r w:rsidRPr="00670325">
        <w:rPr>
          <w:b/>
        </w:rPr>
        <w:t>is not applied</w:t>
      </w:r>
      <w:proofErr w:type="gramEnd"/>
      <w:r w:rsidRPr="00670325">
        <w:rPr>
          <w:b/>
        </w:rPr>
        <w:t xml:space="preserve"> to arbitrarily extend prison sentences that are close to completion </w:t>
      </w:r>
      <w:r w:rsidR="00582F0C">
        <w:rPr>
          <w:b/>
        </w:rPr>
        <w:t xml:space="preserve">and that, if new charges are brought, </w:t>
      </w:r>
      <w:r w:rsidRPr="00670325">
        <w:rPr>
          <w:b/>
        </w:rPr>
        <w:t>due process rights are fully respected and the proportionality principle is strictly observed</w:t>
      </w:r>
      <w:r w:rsidR="00BE2DEA">
        <w:rPr>
          <w:b/>
          <w:lang w:bidi="he-IL"/>
        </w:rPr>
        <w:t xml:space="preserve"> in all sentencing decisions</w:t>
      </w:r>
      <w:r w:rsidRPr="00670325">
        <w:rPr>
          <w:b/>
        </w:rPr>
        <w:t>.</w:t>
      </w:r>
    </w:p>
    <w:p w14:paraId="610E2E11" w14:textId="77777777" w:rsidR="00D2344E" w:rsidRPr="00D2344E" w:rsidRDefault="00081489" w:rsidP="00081489">
      <w:pPr>
        <w:pStyle w:val="H23G"/>
      </w:pPr>
      <w:r>
        <w:tab/>
      </w:r>
      <w:r>
        <w:tab/>
      </w:r>
      <w:r w:rsidR="00D2344E" w:rsidRPr="00D2344E">
        <w:t>Conditions of detention</w:t>
      </w:r>
    </w:p>
    <w:p w14:paraId="780A2D18" w14:textId="29351F63" w:rsidR="00D2344E" w:rsidRPr="00D2344E" w:rsidRDefault="00616298" w:rsidP="00D2344E">
      <w:pPr>
        <w:pStyle w:val="SingleTxtG"/>
        <w:rPr>
          <w:bCs/>
        </w:rPr>
      </w:pPr>
      <w:r>
        <w:rPr>
          <w:bCs/>
        </w:rPr>
        <w:t>18</w:t>
      </w:r>
      <w:r w:rsidR="00E4032C">
        <w:rPr>
          <w:bCs/>
        </w:rPr>
        <w:t>.</w:t>
      </w:r>
      <w:r w:rsidR="00E4032C">
        <w:rPr>
          <w:bCs/>
        </w:rPr>
        <w:tab/>
      </w:r>
      <w:r w:rsidR="00D2344E" w:rsidRPr="00D2344E">
        <w:rPr>
          <w:bCs/>
        </w:rPr>
        <w:t>The Committee is concerned about numerous reports of abuses, including beatings by prison guards and other prisoners,</w:t>
      </w:r>
      <w:r w:rsidR="00B746C7">
        <w:rPr>
          <w:bCs/>
        </w:rPr>
        <w:t xml:space="preserve"> </w:t>
      </w:r>
      <w:r w:rsidR="00A8260A">
        <w:rPr>
          <w:bCs/>
        </w:rPr>
        <w:t>poor conditions of detention</w:t>
      </w:r>
      <w:r w:rsidR="00B746C7">
        <w:rPr>
          <w:bCs/>
        </w:rPr>
        <w:t xml:space="preserve">, </w:t>
      </w:r>
      <w:r w:rsidR="00A033B6">
        <w:rPr>
          <w:bCs/>
        </w:rPr>
        <w:t>in</w:t>
      </w:r>
      <w:r w:rsidR="00B746C7" w:rsidRPr="00B746C7">
        <w:rPr>
          <w:bCs/>
        </w:rPr>
        <w:t xml:space="preserve">adequate medical care and imposition of long and </w:t>
      </w:r>
      <w:proofErr w:type="gramStart"/>
      <w:r w:rsidR="00B746C7" w:rsidRPr="00B746C7">
        <w:rPr>
          <w:bCs/>
        </w:rPr>
        <w:t>physically-demanding</w:t>
      </w:r>
      <w:proofErr w:type="gramEnd"/>
      <w:r w:rsidR="00B746C7" w:rsidRPr="00B746C7">
        <w:rPr>
          <w:bCs/>
        </w:rPr>
        <w:t xml:space="preserve"> working hours</w:t>
      </w:r>
      <w:r w:rsidR="00B746C7">
        <w:rPr>
          <w:bCs/>
        </w:rPr>
        <w:t>,</w:t>
      </w:r>
      <w:r w:rsidR="00A8260A">
        <w:rPr>
          <w:bCs/>
        </w:rPr>
        <w:t xml:space="preserve"> disproportionately </w:t>
      </w:r>
      <w:r w:rsidR="00D2344E" w:rsidRPr="00D2344E">
        <w:rPr>
          <w:bCs/>
        </w:rPr>
        <w:t xml:space="preserve">affecting human rights defenders, government critics and individuals convicted of membership in Islamist parties and groups. The Committee is </w:t>
      </w:r>
      <w:r w:rsidR="0029529C">
        <w:rPr>
          <w:bCs/>
        </w:rPr>
        <w:t xml:space="preserve">also </w:t>
      </w:r>
      <w:r w:rsidR="00D2344E" w:rsidRPr="00D2344E">
        <w:rPr>
          <w:bCs/>
        </w:rPr>
        <w:t xml:space="preserve">concerned about the lack of a national independent mechanism mandated to regularly monitor and inspect all places of detention without prior notice, and about obstacles to the proper functioning of independent national and international human rights and humanitarian organizations (arts. 7 and 10). </w:t>
      </w:r>
    </w:p>
    <w:p w14:paraId="3970F9A4" w14:textId="77777777" w:rsidR="00D2344E" w:rsidRPr="00D2344E" w:rsidRDefault="00D2344E" w:rsidP="00D2344E">
      <w:pPr>
        <w:pStyle w:val="SingleTxtG"/>
        <w:rPr>
          <w:b/>
          <w:bCs/>
        </w:rPr>
      </w:pPr>
      <w:r w:rsidRPr="00D2344E">
        <w:rPr>
          <w:b/>
          <w:bCs/>
        </w:rPr>
        <w:t>The State party should:</w:t>
      </w:r>
    </w:p>
    <w:p w14:paraId="3E25CF3C" w14:textId="23FBCCFB" w:rsidR="00D2344E" w:rsidRPr="00081489" w:rsidRDefault="00081489" w:rsidP="00081489">
      <w:pPr>
        <w:pStyle w:val="SingleTxtG"/>
        <w:rPr>
          <w:b/>
        </w:rPr>
      </w:pPr>
      <w:r>
        <w:rPr>
          <w:b/>
        </w:rPr>
        <w:tab/>
      </w:r>
      <w:r w:rsidRPr="00081489">
        <w:rPr>
          <w:b/>
        </w:rPr>
        <w:t>(a)</w:t>
      </w:r>
      <w:r w:rsidRPr="00081489">
        <w:rPr>
          <w:b/>
        </w:rPr>
        <w:tab/>
      </w:r>
      <w:r w:rsidR="00D2344E" w:rsidRPr="00081489">
        <w:rPr>
          <w:b/>
        </w:rPr>
        <w:t xml:space="preserve">As a matter of priority, take measures to establish a system of regular and independent monitoring of places of detention without prior notice and create all the necessary conditions </w:t>
      </w:r>
      <w:r w:rsidR="000C4F19" w:rsidRPr="00081489">
        <w:rPr>
          <w:b/>
        </w:rPr>
        <w:t>to facilitate</w:t>
      </w:r>
      <w:r w:rsidR="00D2344E" w:rsidRPr="00081489">
        <w:rPr>
          <w:b/>
        </w:rPr>
        <w:t xml:space="preserve"> </w:t>
      </w:r>
      <w:r w:rsidR="000C4F19" w:rsidRPr="00081489">
        <w:rPr>
          <w:b/>
        </w:rPr>
        <w:t xml:space="preserve">effective </w:t>
      </w:r>
      <w:r w:rsidR="00D2344E" w:rsidRPr="00081489">
        <w:rPr>
          <w:b/>
        </w:rPr>
        <w:t xml:space="preserve">monitoring </w:t>
      </w:r>
      <w:r w:rsidR="000C4F19" w:rsidRPr="00081489">
        <w:rPr>
          <w:b/>
        </w:rPr>
        <w:t>by independent</w:t>
      </w:r>
      <w:r w:rsidR="00D2344E" w:rsidRPr="00081489">
        <w:rPr>
          <w:b/>
        </w:rPr>
        <w:t xml:space="preserve"> organizations </w:t>
      </w:r>
      <w:r w:rsidR="00CE5488">
        <w:rPr>
          <w:b/>
        </w:rPr>
        <w:t xml:space="preserve">and </w:t>
      </w:r>
      <w:r w:rsidR="00C36CDF">
        <w:rPr>
          <w:b/>
        </w:rPr>
        <w:t>reinforce its efforts to</w:t>
      </w:r>
      <w:r w:rsidR="00CE5488">
        <w:rPr>
          <w:b/>
        </w:rPr>
        <w:t xml:space="preserve"> grant meaningful access to</w:t>
      </w:r>
      <w:r w:rsidR="00D2344E" w:rsidRPr="00081489">
        <w:rPr>
          <w:b/>
        </w:rPr>
        <w:t xml:space="preserve"> </w:t>
      </w:r>
      <w:r w:rsidR="00EB5478">
        <w:rPr>
          <w:b/>
        </w:rPr>
        <w:t xml:space="preserve">places of detention to </w:t>
      </w:r>
      <w:r w:rsidR="00D2344E" w:rsidRPr="00081489">
        <w:rPr>
          <w:b/>
        </w:rPr>
        <w:t>the International C</w:t>
      </w:r>
      <w:r w:rsidR="00002A34">
        <w:rPr>
          <w:b/>
        </w:rPr>
        <w:t>ommittee of the Red Cross</w:t>
      </w:r>
      <w:r w:rsidR="00D2344E" w:rsidRPr="00081489">
        <w:rPr>
          <w:b/>
        </w:rPr>
        <w:t>;</w:t>
      </w:r>
    </w:p>
    <w:p w14:paraId="4B8C15A6" w14:textId="3F007C75" w:rsidR="00D2344E" w:rsidRPr="00081489" w:rsidRDefault="00081489" w:rsidP="00BE2DEA">
      <w:pPr>
        <w:pStyle w:val="SingleTxtG"/>
        <w:rPr>
          <w:b/>
          <w:lang w:bidi="he-IL"/>
        </w:rPr>
      </w:pPr>
      <w:r>
        <w:rPr>
          <w:b/>
        </w:rPr>
        <w:tab/>
      </w:r>
      <w:r w:rsidRPr="00081489">
        <w:rPr>
          <w:b/>
        </w:rPr>
        <w:t>(b)</w:t>
      </w:r>
      <w:r w:rsidRPr="00081489">
        <w:rPr>
          <w:b/>
        </w:rPr>
        <w:tab/>
      </w:r>
      <w:r w:rsidR="00D2344E" w:rsidRPr="00081489">
        <w:rPr>
          <w:b/>
        </w:rPr>
        <w:t>Ensure that persons deprived of liberty are treated with humanity and with respect for the inherent dignity of the human person, put an end to all forms of abuses in custody outlined above</w:t>
      </w:r>
      <w:r w:rsidR="00980422">
        <w:rPr>
          <w:b/>
        </w:rPr>
        <w:t>,</w:t>
      </w:r>
      <w:r w:rsidR="00D2344E" w:rsidRPr="00081489">
        <w:rPr>
          <w:b/>
        </w:rPr>
        <w:t xml:space="preserve"> and investigate promptly and independently any such abuses, prosecute those responsible and provide effective remedies to victims, including adequate compensation.</w:t>
      </w:r>
    </w:p>
    <w:p w14:paraId="58276DE0" w14:textId="7F8038D0" w:rsidR="00C74CCF" w:rsidRPr="000E249D" w:rsidRDefault="00081489" w:rsidP="00081489">
      <w:pPr>
        <w:pStyle w:val="H23G"/>
      </w:pPr>
      <w:r>
        <w:lastRenderedPageBreak/>
        <w:tab/>
      </w:r>
      <w:r>
        <w:tab/>
      </w:r>
      <w:r w:rsidR="00C74CCF" w:rsidRPr="000E249D">
        <w:t>Forced labour</w:t>
      </w:r>
    </w:p>
    <w:p w14:paraId="7BAF0BC7" w14:textId="0B409EE3" w:rsidR="00C74CCF" w:rsidRPr="00C74CCF" w:rsidRDefault="00616298" w:rsidP="000E249D">
      <w:pPr>
        <w:pStyle w:val="SingleTxtG"/>
      </w:pPr>
      <w:r>
        <w:t>19</w:t>
      </w:r>
      <w:r w:rsidR="00E4032C">
        <w:t>.</w:t>
      </w:r>
      <w:r w:rsidR="00E4032C">
        <w:tab/>
      </w:r>
      <w:r w:rsidR="00C74CCF" w:rsidRPr="00C74CCF">
        <w:t xml:space="preserve">While acknowledging the </w:t>
      </w:r>
      <w:r w:rsidR="000C4F19">
        <w:t>measures taken</w:t>
      </w:r>
      <w:r w:rsidR="00C74CCF" w:rsidRPr="00C74CCF">
        <w:t xml:space="preserve"> by the State party </w:t>
      </w:r>
      <w:r w:rsidR="000C4F19">
        <w:t>to</w:t>
      </w:r>
      <w:r w:rsidR="00C74CCF" w:rsidRPr="00C74CCF">
        <w:t xml:space="preserve"> reduc</w:t>
      </w:r>
      <w:r w:rsidR="000C4F19">
        <w:t>e</w:t>
      </w:r>
      <w:r w:rsidR="00C74CCF" w:rsidRPr="00C74CCF">
        <w:t xml:space="preserve"> forced labour of children under the age of 16 years in the cotton sector, the Committee is concerned about consistent reports indicating an increase in the use of forced labour of </w:t>
      </w:r>
      <w:r w:rsidR="00AD3100">
        <w:t>individuals</w:t>
      </w:r>
      <w:r w:rsidR="00C74CCF" w:rsidRPr="00C74CCF">
        <w:t xml:space="preserve"> above the age of 16 years and adults</w:t>
      </w:r>
      <w:r w:rsidR="0091158A">
        <w:t xml:space="preserve"> in the cotton and silk sectors</w:t>
      </w:r>
      <w:r w:rsidR="00C74CCF" w:rsidRPr="00C74CCF">
        <w:t xml:space="preserve">. </w:t>
      </w:r>
      <w:r w:rsidR="000C4F19">
        <w:t>It</w:t>
      </w:r>
      <w:r w:rsidR="00C74CCF" w:rsidRPr="00C74CCF">
        <w:t xml:space="preserve"> </w:t>
      </w:r>
      <w:r w:rsidR="00C74CCF" w:rsidRPr="009F58EF">
        <w:t xml:space="preserve">is </w:t>
      </w:r>
      <w:r w:rsidR="000C4F19">
        <w:t xml:space="preserve">also </w:t>
      </w:r>
      <w:r w:rsidR="00C74CCF" w:rsidRPr="009F58EF">
        <w:t>concerned</w:t>
      </w:r>
      <w:r w:rsidR="00C74CCF" w:rsidRPr="00C74CCF">
        <w:t xml:space="preserve"> about allegations of </w:t>
      </w:r>
      <w:r w:rsidR="00B00C3C">
        <w:t xml:space="preserve">widespread </w:t>
      </w:r>
      <w:r w:rsidR="007D3E98">
        <w:t xml:space="preserve">corruption </w:t>
      </w:r>
      <w:r w:rsidR="00B00C3C">
        <w:t xml:space="preserve">and extortion </w:t>
      </w:r>
      <w:r w:rsidR="004637B4">
        <w:t xml:space="preserve">and </w:t>
      </w:r>
      <w:r w:rsidR="00C74CCF" w:rsidRPr="00C74CCF">
        <w:t xml:space="preserve">hazardous working conditions in the cotton sector and poor living conditions during the </w:t>
      </w:r>
      <w:proofErr w:type="gramStart"/>
      <w:r w:rsidR="00C74CCF" w:rsidRPr="00C74CCF">
        <w:t xml:space="preserve">harvest </w:t>
      </w:r>
      <w:r w:rsidR="000C4F19">
        <w:t>which</w:t>
      </w:r>
      <w:proofErr w:type="gramEnd"/>
      <w:r w:rsidR="000C4F19">
        <w:t xml:space="preserve"> even resulted in deaths</w:t>
      </w:r>
      <w:r w:rsidR="00C74CCF" w:rsidRPr="00C74CCF">
        <w:t xml:space="preserve"> (arts. 6, 8 and 24).  </w:t>
      </w:r>
    </w:p>
    <w:p w14:paraId="0563D698" w14:textId="49DE8A10" w:rsidR="00C74CCF" w:rsidRDefault="00C74CCF" w:rsidP="006B0408">
      <w:pPr>
        <w:pStyle w:val="SingleTxtG"/>
        <w:rPr>
          <w:b/>
        </w:rPr>
      </w:pPr>
      <w:r w:rsidRPr="00C74CCF">
        <w:rPr>
          <w:b/>
        </w:rPr>
        <w:t xml:space="preserve">The State party should put an end to forced labour in the cotton </w:t>
      </w:r>
      <w:r w:rsidR="0091158A">
        <w:rPr>
          <w:b/>
        </w:rPr>
        <w:t xml:space="preserve">and silk </w:t>
      </w:r>
      <w:r w:rsidRPr="00C74CCF">
        <w:rPr>
          <w:b/>
        </w:rPr>
        <w:t>sector</w:t>
      </w:r>
      <w:r w:rsidR="0091158A">
        <w:rPr>
          <w:b/>
        </w:rPr>
        <w:t>s</w:t>
      </w:r>
      <w:r w:rsidRPr="00C74CCF">
        <w:rPr>
          <w:b/>
        </w:rPr>
        <w:t xml:space="preserve">, inter alia by enforcing effectively the legal </w:t>
      </w:r>
      <w:proofErr w:type="gramStart"/>
      <w:r w:rsidRPr="00C74CCF">
        <w:rPr>
          <w:b/>
        </w:rPr>
        <w:t>framework prohibiting</w:t>
      </w:r>
      <w:proofErr w:type="gramEnd"/>
      <w:r w:rsidRPr="00C74CCF">
        <w:rPr>
          <w:b/>
        </w:rPr>
        <w:t xml:space="preserve"> child and forced labour, including by rigorously </w:t>
      </w:r>
      <w:r w:rsidR="001E55E4">
        <w:rPr>
          <w:b/>
        </w:rPr>
        <w:t xml:space="preserve">prosecuting </w:t>
      </w:r>
      <w:r w:rsidR="00B06B64">
        <w:rPr>
          <w:b/>
        </w:rPr>
        <w:t>those responsible for violations</w:t>
      </w:r>
      <w:r w:rsidR="00A8260A">
        <w:rPr>
          <w:b/>
        </w:rPr>
        <w:t xml:space="preserve"> </w:t>
      </w:r>
      <w:r w:rsidRPr="00C74CCF">
        <w:rPr>
          <w:b/>
        </w:rPr>
        <w:t>and improving</w:t>
      </w:r>
      <w:r w:rsidR="00BA1E22">
        <w:rPr>
          <w:b/>
        </w:rPr>
        <w:t xml:space="preserve"> working and living conditions. </w:t>
      </w:r>
      <w:r w:rsidRPr="00C74CCF">
        <w:rPr>
          <w:b/>
        </w:rPr>
        <w:t xml:space="preserve">The State party should also </w:t>
      </w:r>
      <w:r w:rsidR="000D21D1">
        <w:rPr>
          <w:b/>
        </w:rPr>
        <w:t>review it</w:t>
      </w:r>
      <w:r w:rsidR="003808F5">
        <w:rPr>
          <w:b/>
        </w:rPr>
        <w:t xml:space="preserve">s </w:t>
      </w:r>
      <w:r w:rsidR="000D21D1">
        <w:rPr>
          <w:b/>
        </w:rPr>
        <w:t xml:space="preserve">laws and practices to ensure financial transparency and address corruption in the cotton industry and </w:t>
      </w:r>
      <w:r w:rsidRPr="00C74CCF">
        <w:rPr>
          <w:b/>
        </w:rPr>
        <w:t xml:space="preserve">take all necessary measures to prevent deaths in connection with the cotton harvesting, investigate thoroughly such cases when they occur and provide effective remedies, including adequate compensation, to victims’ families. </w:t>
      </w:r>
    </w:p>
    <w:p w14:paraId="622C3E16" w14:textId="77777777" w:rsidR="00AE42BD" w:rsidRDefault="00081489" w:rsidP="00081489">
      <w:pPr>
        <w:pStyle w:val="H23G"/>
        <w:rPr>
          <w:lang w:val="en-US"/>
        </w:rPr>
      </w:pPr>
      <w:r>
        <w:tab/>
      </w:r>
      <w:r>
        <w:tab/>
      </w:r>
      <w:r w:rsidR="00642CA2" w:rsidRPr="00642CA2">
        <w:t>Freedom of movement</w:t>
      </w:r>
    </w:p>
    <w:p w14:paraId="5656CD06" w14:textId="77A592CF" w:rsidR="00642CA2" w:rsidRPr="00E4032C" w:rsidRDefault="00616298" w:rsidP="00AE42BD">
      <w:pPr>
        <w:pStyle w:val="SingleTxtG"/>
        <w:rPr>
          <w:b/>
          <w:lang w:val="en-US"/>
        </w:rPr>
      </w:pPr>
      <w:r>
        <w:rPr>
          <w:lang w:val="en-US"/>
        </w:rPr>
        <w:t>20</w:t>
      </w:r>
      <w:r w:rsidR="00E4032C">
        <w:rPr>
          <w:lang w:val="en-US"/>
        </w:rPr>
        <w:t>.</w:t>
      </w:r>
      <w:r w:rsidR="00E4032C">
        <w:rPr>
          <w:lang w:val="en-US"/>
        </w:rPr>
        <w:tab/>
      </w:r>
      <w:r w:rsidR="00642CA2" w:rsidRPr="00642CA2">
        <w:rPr>
          <w:lang w:val="en-US"/>
        </w:rPr>
        <w:t xml:space="preserve">The Committee remains concerned </w:t>
      </w:r>
      <w:r w:rsidR="00E45BAA">
        <w:rPr>
          <w:lang w:val="en-US"/>
        </w:rPr>
        <w:t xml:space="preserve">that the State </w:t>
      </w:r>
      <w:proofErr w:type="gramStart"/>
      <w:r w:rsidR="00E45BAA">
        <w:rPr>
          <w:lang w:val="en-US"/>
        </w:rPr>
        <w:t xml:space="preserve">party </w:t>
      </w:r>
      <w:r w:rsidR="00642CA2" w:rsidRPr="00642CA2">
        <w:rPr>
          <w:lang w:val="en-US"/>
        </w:rPr>
        <w:t>still</w:t>
      </w:r>
      <w:proofErr w:type="gramEnd"/>
      <w:r w:rsidR="00642CA2" w:rsidRPr="00642CA2">
        <w:rPr>
          <w:lang w:val="en-US"/>
        </w:rPr>
        <w:t xml:space="preserve"> retains the exit visa system and the compulsory address/residence registration system (</w:t>
      </w:r>
      <w:proofErr w:type="spellStart"/>
      <w:r w:rsidR="00642CA2" w:rsidRPr="00642CA2">
        <w:rPr>
          <w:i/>
          <w:lang w:val="en-US"/>
        </w:rPr>
        <w:t>propiska</w:t>
      </w:r>
      <w:proofErr w:type="spellEnd"/>
      <w:r w:rsidR="00642CA2" w:rsidRPr="00642CA2">
        <w:rPr>
          <w:lang w:val="en-US"/>
        </w:rPr>
        <w:t xml:space="preserve">). </w:t>
      </w:r>
      <w:r w:rsidR="007D2F89">
        <w:rPr>
          <w:lang w:val="en-US"/>
        </w:rPr>
        <w:t>It</w:t>
      </w:r>
      <w:r w:rsidR="00642CA2" w:rsidRPr="00642CA2">
        <w:rPr>
          <w:lang w:val="en-US"/>
        </w:rPr>
        <w:t xml:space="preserve"> is also concerned about reports that the State party prevents the travel of human rights defenders, independent journalists or members of political opposition abroad by delaying the issuance of exit visas (art. 12).</w:t>
      </w:r>
    </w:p>
    <w:p w14:paraId="5B0442C2" w14:textId="17B30C38" w:rsidR="001A686B" w:rsidRDefault="00642CA2" w:rsidP="001A686B">
      <w:pPr>
        <w:pStyle w:val="SingleTxtG"/>
        <w:rPr>
          <w:b/>
          <w:lang w:val="en-US"/>
        </w:rPr>
      </w:pPr>
      <w:r w:rsidRPr="00642CA2">
        <w:rPr>
          <w:b/>
          <w:lang w:val="en-US"/>
        </w:rPr>
        <w:t>The Committee reiterates its previous recommendation (CCPR/C/UZB/CO/3,</w:t>
      </w:r>
      <w:r w:rsidR="00E45BAA">
        <w:rPr>
          <w:b/>
          <w:lang w:val="en-US"/>
        </w:rPr>
        <w:t xml:space="preserve"> para. 18) that the State </w:t>
      </w:r>
      <w:proofErr w:type="gramStart"/>
      <w:r w:rsidR="00E45BAA">
        <w:rPr>
          <w:b/>
          <w:lang w:val="en-US"/>
        </w:rPr>
        <w:t xml:space="preserve">party </w:t>
      </w:r>
      <w:r w:rsidR="00BA1E22" w:rsidRPr="00642CA2">
        <w:rPr>
          <w:b/>
          <w:lang w:val="en-US"/>
        </w:rPr>
        <w:t>abolish</w:t>
      </w:r>
      <w:proofErr w:type="gramEnd"/>
      <w:r w:rsidRPr="00642CA2">
        <w:rPr>
          <w:b/>
          <w:lang w:val="en-US"/>
        </w:rPr>
        <w:t xml:space="preserve"> the exit visa system and </w:t>
      </w:r>
      <w:r w:rsidR="00BA1E22" w:rsidRPr="00642CA2">
        <w:rPr>
          <w:b/>
          <w:lang w:val="en-US"/>
        </w:rPr>
        <w:t>bring</w:t>
      </w:r>
      <w:r w:rsidRPr="00642CA2">
        <w:rPr>
          <w:b/>
          <w:lang w:val="en-US"/>
        </w:rPr>
        <w:t xml:space="preserve"> its compulsory address/residence registration system (</w:t>
      </w:r>
      <w:proofErr w:type="spellStart"/>
      <w:r w:rsidRPr="00642CA2">
        <w:rPr>
          <w:b/>
          <w:i/>
          <w:lang w:val="en-US"/>
        </w:rPr>
        <w:t>propiska</w:t>
      </w:r>
      <w:proofErr w:type="spellEnd"/>
      <w:r w:rsidRPr="00642CA2">
        <w:rPr>
          <w:b/>
          <w:lang w:val="en-US"/>
        </w:rPr>
        <w:t>) in full compliance with the Covenant.</w:t>
      </w:r>
    </w:p>
    <w:p w14:paraId="4D81F5AD" w14:textId="77777777" w:rsidR="001A686B" w:rsidRPr="001A686B" w:rsidRDefault="001A686B" w:rsidP="001A686B">
      <w:pPr>
        <w:pStyle w:val="SingleTxtG"/>
        <w:rPr>
          <w:b/>
          <w:lang w:val="en-US"/>
        </w:rPr>
      </w:pPr>
      <w:r w:rsidRPr="001A686B">
        <w:rPr>
          <w:b/>
        </w:rPr>
        <w:t>Independence of the judiciary and fair trial</w:t>
      </w:r>
    </w:p>
    <w:p w14:paraId="0DBAC897" w14:textId="25FDF4E1" w:rsidR="001A686B" w:rsidRPr="001A686B" w:rsidRDefault="00616298" w:rsidP="001A686B">
      <w:pPr>
        <w:pStyle w:val="SingleTxtG"/>
        <w:rPr>
          <w:lang w:val="en-US"/>
        </w:rPr>
      </w:pPr>
      <w:r>
        <w:rPr>
          <w:lang w:val="en-US"/>
        </w:rPr>
        <w:t>21</w:t>
      </w:r>
      <w:r w:rsidR="00E4032C">
        <w:rPr>
          <w:lang w:val="en-US"/>
        </w:rPr>
        <w:t>.</w:t>
      </w:r>
      <w:r w:rsidR="00E4032C">
        <w:rPr>
          <w:lang w:val="en-US"/>
        </w:rPr>
        <w:tab/>
      </w:r>
      <w:r w:rsidR="001A686B" w:rsidRPr="001A686B">
        <w:rPr>
          <w:lang w:val="en-US"/>
        </w:rPr>
        <w:t xml:space="preserve">The Committee remains concerned (CCPR/C/UZB/CO/3, para. 16) about the </w:t>
      </w:r>
      <w:r w:rsidR="007D2F89">
        <w:rPr>
          <w:lang w:val="en-US"/>
        </w:rPr>
        <w:t xml:space="preserve">insufficient </w:t>
      </w:r>
      <w:r w:rsidR="001A686B" w:rsidRPr="001A686B">
        <w:rPr>
          <w:lang w:val="en-US"/>
        </w:rPr>
        <w:t xml:space="preserve">independence and impartiality of the judiciary, including the lack of security of tenure of judges who have their term renewed by the Executive every five years, and regrets the lack of information on the appointment, promotion, suspension and removal of judges. It is further concerned about the independence of the Chamber of Lawyers from the executive </w:t>
      </w:r>
      <w:r w:rsidR="001A686B" w:rsidRPr="00A02548">
        <w:rPr>
          <w:lang w:val="en-US"/>
        </w:rPr>
        <w:t>branch</w:t>
      </w:r>
      <w:r w:rsidR="001A686B" w:rsidRPr="001A686B">
        <w:rPr>
          <w:lang w:val="en-US"/>
        </w:rPr>
        <w:t xml:space="preserve"> (art. 14).</w:t>
      </w:r>
    </w:p>
    <w:p w14:paraId="51ADFB0F" w14:textId="77777777" w:rsidR="001A686B" w:rsidRPr="001A686B" w:rsidRDefault="001A686B" w:rsidP="001A686B">
      <w:pPr>
        <w:pStyle w:val="SingleTxtG"/>
        <w:rPr>
          <w:b/>
          <w:lang w:val="en-US"/>
        </w:rPr>
      </w:pPr>
      <w:proofErr w:type="gramStart"/>
      <w:r w:rsidRPr="001A686B">
        <w:rPr>
          <w:b/>
          <w:lang w:val="en-US"/>
        </w:rPr>
        <w:t>The State party should take all necessary measures to ensure (a) the full independence and impartiality of the judiciary, including by guaranteeing judges’ security of tenure; (b) that the appointment, promotion, suspension and removal of judges is compliant with the Covenant; (c) that the independence of the Chamber of Lawyers from the executive branch is guaranteed in law and in practice; (d) that sufficient safeguards are in place to guarantee the independence of lawyers.</w:t>
      </w:r>
      <w:proofErr w:type="gramEnd"/>
      <w:r w:rsidRPr="001A686B">
        <w:rPr>
          <w:b/>
          <w:lang w:val="en-US"/>
        </w:rPr>
        <w:t xml:space="preserve">  </w:t>
      </w:r>
    </w:p>
    <w:p w14:paraId="1A853CC0" w14:textId="14BBDA71" w:rsidR="00C95E0F" w:rsidRDefault="002A6D31" w:rsidP="002A6D31">
      <w:pPr>
        <w:pStyle w:val="H23G"/>
      </w:pPr>
      <w:r>
        <w:tab/>
      </w:r>
      <w:r>
        <w:tab/>
      </w:r>
      <w:r w:rsidR="00C95E0F" w:rsidRPr="00BD5229">
        <w:t>Freedom of conscience and religious belief</w:t>
      </w:r>
    </w:p>
    <w:p w14:paraId="0478647A" w14:textId="7E33D25D" w:rsidR="00BD5229" w:rsidRPr="00BD5229" w:rsidRDefault="00616298" w:rsidP="00BD5229">
      <w:pPr>
        <w:pStyle w:val="SingleTxtG"/>
        <w:rPr>
          <w:bCs/>
          <w:lang w:val="en-US"/>
        </w:rPr>
      </w:pPr>
      <w:r>
        <w:rPr>
          <w:bCs/>
          <w:lang w:val="en-US"/>
        </w:rPr>
        <w:t>22</w:t>
      </w:r>
      <w:r w:rsidR="00BD5229">
        <w:rPr>
          <w:bCs/>
          <w:lang w:val="en-US"/>
        </w:rPr>
        <w:t>.</w:t>
      </w:r>
      <w:r w:rsidR="00BD5229">
        <w:rPr>
          <w:bCs/>
          <w:lang w:val="en-US"/>
        </w:rPr>
        <w:tab/>
      </w:r>
      <w:r w:rsidR="00BD5229" w:rsidRPr="00BD5229">
        <w:rPr>
          <w:bCs/>
          <w:lang w:val="en-US"/>
        </w:rPr>
        <w:t xml:space="preserve">The Committee remains concerned (CCPR/C/UZB/CO/3, para. 19) that the legal provisions prohibiting proselytism and other missionary activities continue to </w:t>
      </w:r>
      <w:r w:rsidR="007D2F89">
        <w:rPr>
          <w:bCs/>
          <w:lang w:val="en-US"/>
        </w:rPr>
        <w:t>be in force</w:t>
      </w:r>
      <w:r w:rsidR="00BD5229" w:rsidRPr="00BD5229">
        <w:rPr>
          <w:bCs/>
          <w:lang w:val="en-US"/>
        </w:rPr>
        <w:t xml:space="preserve">. </w:t>
      </w:r>
      <w:proofErr w:type="gramStart"/>
      <w:r w:rsidR="00BD5229" w:rsidRPr="00BD5229">
        <w:rPr>
          <w:bCs/>
          <w:lang w:val="en-US"/>
        </w:rPr>
        <w:t>It is also concerned about reports of (a) unlawful arrests, detentions, torture and ill-treatment</w:t>
      </w:r>
      <w:r w:rsidR="000A55CB">
        <w:rPr>
          <w:bCs/>
          <w:lang w:val="en-US"/>
        </w:rPr>
        <w:t xml:space="preserve"> and</w:t>
      </w:r>
      <w:r w:rsidR="000A55CB" w:rsidRPr="000A55CB">
        <w:t xml:space="preserve"> </w:t>
      </w:r>
      <w:r w:rsidR="000A55CB" w:rsidRPr="000A55CB">
        <w:rPr>
          <w:bCs/>
          <w:lang w:val="en-US"/>
        </w:rPr>
        <w:t>conviction</w:t>
      </w:r>
      <w:r w:rsidR="000A55CB">
        <w:rPr>
          <w:bCs/>
          <w:lang w:val="en-US"/>
        </w:rPr>
        <w:t>s</w:t>
      </w:r>
      <w:r w:rsidR="000A55CB" w:rsidRPr="000A55CB">
        <w:rPr>
          <w:bCs/>
          <w:lang w:val="en-US"/>
        </w:rPr>
        <w:t xml:space="preserve"> on religious extremism related charges</w:t>
      </w:r>
      <w:r w:rsidR="000A55CB">
        <w:rPr>
          <w:bCs/>
          <w:lang w:val="en-US"/>
        </w:rPr>
        <w:t xml:space="preserve"> </w:t>
      </w:r>
      <w:r w:rsidR="00BD5229" w:rsidRPr="00BD5229">
        <w:rPr>
          <w:bCs/>
          <w:lang w:val="en-US"/>
        </w:rPr>
        <w:t xml:space="preserve">of independent Muslims </w:t>
      </w:r>
      <w:proofErr w:type="spellStart"/>
      <w:r w:rsidR="00BD5229" w:rsidRPr="00BD5229">
        <w:rPr>
          <w:bCs/>
          <w:lang w:val="en-US"/>
        </w:rPr>
        <w:t>practising</w:t>
      </w:r>
      <w:proofErr w:type="spellEnd"/>
      <w:r w:rsidR="00BD5229" w:rsidRPr="00BD5229">
        <w:rPr>
          <w:bCs/>
          <w:lang w:val="en-US"/>
        </w:rPr>
        <w:t xml:space="preserve"> their faith outside </w:t>
      </w:r>
      <w:r w:rsidR="00F5433C">
        <w:rPr>
          <w:bCs/>
          <w:lang w:val="en-US"/>
        </w:rPr>
        <w:t>registered</w:t>
      </w:r>
      <w:r w:rsidR="007B7DAD">
        <w:rPr>
          <w:bCs/>
          <w:lang w:val="en-US"/>
        </w:rPr>
        <w:t xml:space="preserve"> structures</w:t>
      </w:r>
      <w:r w:rsidR="00BD5229" w:rsidRPr="00BD5229">
        <w:rPr>
          <w:bCs/>
          <w:lang w:val="en-US"/>
        </w:rPr>
        <w:t xml:space="preserve">; (b) arrest for “illegal religious activity”, detention, fines and prison sentences for Christians and members of other minority religions conducting peaceful religious activities outside </w:t>
      </w:r>
      <w:r w:rsidR="00F5433C">
        <w:rPr>
          <w:bCs/>
          <w:lang w:val="en-US"/>
        </w:rPr>
        <w:t xml:space="preserve">registered </w:t>
      </w:r>
      <w:r w:rsidR="00BD5229" w:rsidRPr="00BD5229">
        <w:rPr>
          <w:bCs/>
          <w:lang w:val="en-US"/>
        </w:rPr>
        <w:t xml:space="preserve">structures; (c) censorship of </w:t>
      </w:r>
      <w:r w:rsidR="00BD5229" w:rsidRPr="00BD5229">
        <w:rPr>
          <w:bCs/>
          <w:lang w:val="en-US"/>
        </w:rPr>
        <w:lastRenderedPageBreak/>
        <w:t xml:space="preserve">religious materials and restrictions on their use only inside buildings of registered religious groups (art. 7, 9, 10, </w:t>
      </w:r>
      <w:r w:rsidR="007D2F89">
        <w:rPr>
          <w:bCs/>
          <w:lang w:val="en-US"/>
        </w:rPr>
        <w:t>and</w:t>
      </w:r>
      <w:r w:rsidR="00BD5229" w:rsidRPr="00BD5229">
        <w:rPr>
          <w:bCs/>
          <w:lang w:val="en-US"/>
        </w:rPr>
        <w:t xml:space="preserve"> 18).</w:t>
      </w:r>
      <w:proofErr w:type="gramEnd"/>
    </w:p>
    <w:p w14:paraId="19B33DD1" w14:textId="78638559" w:rsidR="00C95E0F" w:rsidRPr="005332CA" w:rsidRDefault="00BD5229" w:rsidP="005332CA">
      <w:pPr>
        <w:pStyle w:val="SingleTxtG"/>
        <w:rPr>
          <w:b/>
          <w:bCs/>
          <w:lang w:val="en-US"/>
        </w:rPr>
      </w:pPr>
      <w:r w:rsidRPr="00BD5229">
        <w:rPr>
          <w:b/>
          <w:bCs/>
          <w:lang w:val="en-US"/>
        </w:rPr>
        <w:t>The State party should guarantee in practice the freedom of religion and belief and freedom to manifest a religion or belief and refrain from any actions that may restrict such freedoms beyond the narrow restrictions permitted in article 18 of the Covenant. It should bring its legislation in</w:t>
      </w:r>
      <w:r w:rsidR="00A8260A">
        <w:rPr>
          <w:b/>
          <w:bCs/>
          <w:lang w:val="en-US"/>
        </w:rPr>
        <w:t>to</w:t>
      </w:r>
      <w:r w:rsidRPr="00BD5229">
        <w:rPr>
          <w:b/>
          <w:bCs/>
          <w:lang w:val="en-US"/>
        </w:rPr>
        <w:t xml:space="preserve"> conformity with article 18 of the Covenant, including through the decriminalization of proselytism and other missionary activities, and investigate all acts of interference with </w:t>
      </w:r>
      <w:r w:rsidR="00420C81">
        <w:rPr>
          <w:b/>
          <w:bCs/>
          <w:lang w:val="en-US"/>
        </w:rPr>
        <w:t xml:space="preserve">the </w:t>
      </w:r>
      <w:r w:rsidRPr="00BD5229">
        <w:rPr>
          <w:b/>
          <w:bCs/>
          <w:lang w:val="en-US"/>
        </w:rPr>
        <w:t xml:space="preserve">freedom of religion of independent Muslims, Christians and other minority religions </w:t>
      </w:r>
      <w:proofErr w:type="spellStart"/>
      <w:r w:rsidRPr="00BD5229">
        <w:rPr>
          <w:b/>
          <w:bCs/>
          <w:lang w:val="en-US"/>
        </w:rPr>
        <w:t>practising</w:t>
      </w:r>
      <w:proofErr w:type="spellEnd"/>
      <w:r w:rsidRPr="00BD5229">
        <w:rPr>
          <w:b/>
          <w:bCs/>
          <w:lang w:val="en-US"/>
        </w:rPr>
        <w:t xml:space="preserve"> their religion outside </w:t>
      </w:r>
      <w:r w:rsidR="00D0342E">
        <w:rPr>
          <w:b/>
          <w:bCs/>
          <w:lang w:val="en-US"/>
        </w:rPr>
        <w:t>registered</w:t>
      </w:r>
      <w:r w:rsidRPr="00BD5229">
        <w:rPr>
          <w:b/>
          <w:bCs/>
          <w:lang w:val="en-US"/>
        </w:rPr>
        <w:t xml:space="preserve"> structures. </w:t>
      </w:r>
    </w:p>
    <w:p w14:paraId="0C5735D3" w14:textId="77777777" w:rsidR="00F1712A" w:rsidRPr="00F1712A" w:rsidRDefault="00F1712A" w:rsidP="00F1712A">
      <w:pPr>
        <w:pStyle w:val="SingleTxtG"/>
        <w:rPr>
          <w:b/>
        </w:rPr>
      </w:pPr>
      <w:r w:rsidRPr="00F1712A">
        <w:rPr>
          <w:b/>
        </w:rPr>
        <w:t xml:space="preserve">Freedom of expression </w:t>
      </w:r>
    </w:p>
    <w:p w14:paraId="08B88A4A" w14:textId="1CFF8EE3" w:rsidR="00F1712A" w:rsidRPr="00A302B8" w:rsidRDefault="00616298" w:rsidP="00F1712A">
      <w:pPr>
        <w:pStyle w:val="SingleTxtG"/>
      </w:pPr>
      <w:r>
        <w:t>23</w:t>
      </w:r>
      <w:r w:rsidR="00E4032C">
        <w:t>.</w:t>
      </w:r>
      <w:r w:rsidR="00E4032C">
        <w:tab/>
      </w:r>
      <w:r w:rsidR="00F1712A" w:rsidRPr="00A302B8">
        <w:rPr>
          <w:lang w:val="x-none"/>
        </w:rPr>
        <w:t>The Committee remains concerned</w:t>
      </w:r>
      <w:r w:rsidR="00F1712A" w:rsidRPr="00A302B8">
        <w:t xml:space="preserve"> (CCPR/C/UZB/CO/3, para. 24) about consistent reports of harassment, surveillance, arbitrary arrests and detentions, torture and ill-treatment by law enforcement officers and prosecutions on trumped-up charges of independent journalists, government critics and dissidents, human rights defenders and other activists, in retaliation </w:t>
      </w:r>
      <w:r w:rsidR="007D2F89">
        <w:t>to</w:t>
      </w:r>
      <w:r w:rsidR="00F1712A" w:rsidRPr="00A302B8">
        <w:t xml:space="preserve"> their work. It is further concerned about reports that freedom of expression on controversial and politically-sensitive issues is severely restricted in practice, and websites providing such information are blocked and news agencies forbidden to function (art</w:t>
      </w:r>
      <w:r w:rsidR="0061684D">
        <w:t>s</w:t>
      </w:r>
      <w:r w:rsidR="00F1712A" w:rsidRPr="00A302B8">
        <w:t>. 7, 9, 10, 14 and 19).</w:t>
      </w:r>
    </w:p>
    <w:p w14:paraId="2A9DF9EC" w14:textId="77777777" w:rsidR="00F1712A" w:rsidRDefault="00F1712A" w:rsidP="00F1712A">
      <w:pPr>
        <w:pStyle w:val="SingleTxtG"/>
        <w:rPr>
          <w:b/>
        </w:rPr>
      </w:pPr>
      <w:r w:rsidRPr="00F1712A">
        <w:rPr>
          <w:b/>
        </w:rPr>
        <w:t>The State party should</w:t>
      </w:r>
      <w:r>
        <w:rPr>
          <w:b/>
        </w:rPr>
        <w:t>:</w:t>
      </w:r>
    </w:p>
    <w:p w14:paraId="09899FB0" w14:textId="77777777" w:rsidR="00F1712A" w:rsidRPr="00081489" w:rsidRDefault="00081489" w:rsidP="00081489">
      <w:pPr>
        <w:pStyle w:val="SingleTxtG"/>
        <w:rPr>
          <w:b/>
        </w:rPr>
      </w:pPr>
      <w:r>
        <w:rPr>
          <w:b/>
        </w:rPr>
        <w:tab/>
      </w:r>
      <w:proofErr w:type="gramStart"/>
      <w:r w:rsidRPr="00081489">
        <w:rPr>
          <w:b/>
        </w:rPr>
        <w:t>(a)</w:t>
      </w:r>
      <w:r w:rsidRPr="00081489">
        <w:rPr>
          <w:b/>
        </w:rPr>
        <w:tab/>
      </w:r>
      <w:r w:rsidR="00F1712A" w:rsidRPr="00081489">
        <w:rPr>
          <w:b/>
        </w:rPr>
        <w:t xml:space="preserve">Take immediate steps to provide, in practice, effective protection </w:t>
      </w:r>
      <w:r w:rsidR="000A55CB" w:rsidRPr="00081489">
        <w:rPr>
          <w:b/>
        </w:rPr>
        <w:t>of</w:t>
      </w:r>
      <w:r w:rsidR="00F1712A" w:rsidRPr="00081489">
        <w:rPr>
          <w:b/>
        </w:rPr>
        <w:t xml:space="preserve"> independent journalists, government critics and dissidents, human rights defenders and other activists against any actions that may constitute harassment, persecution or undue interference in the exercise of their professional activities or of their right to freedom of opinion and expression, and ensure that such acts are thoroughly and independently investigated, prosecuted and </w:t>
      </w:r>
      <w:r w:rsidR="007D2F89" w:rsidRPr="00081489">
        <w:rPr>
          <w:b/>
        </w:rPr>
        <w:t>sanctioned</w:t>
      </w:r>
      <w:r w:rsidR="00F1712A" w:rsidRPr="00081489">
        <w:rPr>
          <w:b/>
        </w:rPr>
        <w:t>, and that victims are provided with effective remedies;</w:t>
      </w:r>
      <w:proofErr w:type="gramEnd"/>
      <w:r w:rsidR="00F1712A" w:rsidRPr="00081489">
        <w:rPr>
          <w:b/>
        </w:rPr>
        <w:t xml:space="preserve"> </w:t>
      </w:r>
    </w:p>
    <w:p w14:paraId="7FBFEB51" w14:textId="77777777" w:rsidR="00F1712A" w:rsidRPr="00081489" w:rsidRDefault="00081489" w:rsidP="00081489">
      <w:pPr>
        <w:pStyle w:val="SingleTxtG"/>
        <w:rPr>
          <w:b/>
        </w:rPr>
      </w:pPr>
      <w:r>
        <w:rPr>
          <w:b/>
        </w:rPr>
        <w:tab/>
      </w:r>
      <w:r w:rsidRPr="00081489">
        <w:rPr>
          <w:b/>
        </w:rPr>
        <w:t>(b)</w:t>
      </w:r>
      <w:r w:rsidRPr="00081489">
        <w:rPr>
          <w:b/>
        </w:rPr>
        <w:tab/>
      </w:r>
      <w:r w:rsidR="00B03523" w:rsidRPr="00081489">
        <w:rPr>
          <w:b/>
        </w:rPr>
        <w:t xml:space="preserve">Ensure that </w:t>
      </w:r>
      <w:r w:rsidR="00F1712A" w:rsidRPr="00081489">
        <w:rPr>
          <w:b/>
        </w:rPr>
        <w:t>any restrictions on the exercise of freedom of expression comply with the strict requirements of article 19, paragraph 3, of the Covenant.</w:t>
      </w:r>
    </w:p>
    <w:p w14:paraId="00B36E1A" w14:textId="77777777" w:rsidR="00BA52A1" w:rsidRDefault="000A0A49" w:rsidP="006B0408">
      <w:pPr>
        <w:pStyle w:val="SingleTxtG"/>
        <w:rPr>
          <w:b/>
        </w:rPr>
      </w:pPr>
      <w:r>
        <w:rPr>
          <w:b/>
        </w:rPr>
        <w:t>Peaceful assembly</w:t>
      </w:r>
    </w:p>
    <w:p w14:paraId="7E938FAB" w14:textId="1F065D5C" w:rsidR="005421B3" w:rsidRPr="005421B3" w:rsidRDefault="00616298" w:rsidP="005421B3">
      <w:pPr>
        <w:pStyle w:val="SingleTxtG"/>
      </w:pPr>
      <w:proofErr w:type="gramStart"/>
      <w:r>
        <w:t>24</w:t>
      </w:r>
      <w:r w:rsidR="00E4032C">
        <w:t>.</w:t>
      </w:r>
      <w:r w:rsidR="00E4032C">
        <w:tab/>
      </w:r>
      <w:r w:rsidR="005421B3" w:rsidRPr="005421B3">
        <w:t xml:space="preserve">The Committee is concerned about reports of arbitrary restrictions on the right to peaceful assembly in law and in practice, including: (a) the excessive requirement that authorizations for holding mass events be filed at least one month in advance; (b) the disruption of peaceful assemblies by law enforcement officers and arrests, detentions, beatings and sanctioning of participants (arts. </w:t>
      </w:r>
      <w:r w:rsidR="007D2F89">
        <w:t xml:space="preserve">7, 9, </w:t>
      </w:r>
      <w:r w:rsidR="005421B3" w:rsidRPr="005421B3">
        <w:t>19 and 21).</w:t>
      </w:r>
      <w:proofErr w:type="gramEnd"/>
    </w:p>
    <w:p w14:paraId="7DFB841C" w14:textId="77777777" w:rsidR="005421B3" w:rsidRDefault="005421B3" w:rsidP="005421B3">
      <w:pPr>
        <w:pStyle w:val="SingleTxtG"/>
        <w:rPr>
          <w:b/>
          <w:bCs/>
        </w:rPr>
      </w:pPr>
      <w:r w:rsidRPr="005421B3">
        <w:rPr>
          <w:b/>
          <w:lang w:val="x-none"/>
        </w:rPr>
        <w:t xml:space="preserve">The State party should </w:t>
      </w:r>
      <w:r w:rsidRPr="005421B3">
        <w:rPr>
          <w:b/>
        </w:rPr>
        <w:t xml:space="preserve">revise its laws and practices with a view to ensuring that </w:t>
      </w:r>
      <w:r w:rsidRPr="005421B3">
        <w:rPr>
          <w:b/>
          <w:lang w:val="x-none"/>
        </w:rPr>
        <w:t>individuals fully enjoy their right to freedom of assembly</w:t>
      </w:r>
      <w:r w:rsidRPr="005421B3">
        <w:rPr>
          <w:b/>
        </w:rPr>
        <w:t xml:space="preserve"> and that any restrictions imposed are in compliance with the strict requirements of article 21 of the Covenant</w:t>
      </w:r>
      <w:r w:rsidRPr="005421B3">
        <w:rPr>
          <w:b/>
          <w:lang w:val="x-none"/>
        </w:rPr>
        <w:t xml:space="preserve">. </w:t>
      </w:r>
      <w:r w:rsidRPr="005421B3">
        <w:rPr>
          <w:b/>
        </w:rPr>
        <w:t xml:space="preserve">It should also </w:t>
      </w:r>
      <w:r w:rsidR="00C342C2">
        <w:rPr>
          <w:b/>
        </w:rPr>
        <w:t>effectively</w:t>
      </w:r>
      <w:r w:rsidRPr="005421B3">
        <w:rPr>
          <w:b/>
          <w:bCs/>
          <w:lang w:val="x-none"/>
        </w:rPr>
        <w:t xml:space="preserve"> investigat</w:t>
      </w:r>
      <w:r w:rsidRPr="005421B3">
        <w:rPr>
          <w:b/>
          <w:bCs/>
        </w:rPr>
        <w:t>e all</w:t>
      </w:r>
      <w:r w:rsidRPr="005421B3">
        <w:rPr>
          <w:b/>
          <w:bCs/>
          <w:lang w:val="x-none"/>
        </w:rPr>
        <w:t xml:space="preserve"> cases of violence, arbitrary arrest and detention of peaceful protesters and </w:t>
      </w:r>
      <w:r w:rsidR="00B43B01">
        <w:rPr>
          <w:b/>
          <w:bCs/>
        </w:rPr>
        <w:t xml:space="preserve">bring those responsible </w:t>
      </w:r>
      <w:r w:rsidRPr="005421B3">
        <w:rPr>
          <w:b/>
          <w:bCs/>
        </w:rPr>
        <w:t>to justice.</w:t>
      </w:r>
    </w:p>
    <w:p w14:paraId="35082E9E" w14:textId="77777777" w:rsidR="00174FB7" w:rsidRDefault="00174FB7" w:rsidP="005421B3">
      <w:pPr>
        <w:pStyle w:val="SingleTxtG"/>
        <w:rPr>
          <w:b/>
          <w:bCs/>
        </w:rPr>
      </w:pPr>
      <w:r w:rsidRPr="0049721E">
        <w:rPr>
          <w:b/>
          <w:bCs/>
        </w:rPr>
        <w:t>Freedom of association</w:t>
      </w:r>
      <w:r w:rsidR="00EA6B2A">
        <w:rPr>
          <w:b/>
          <w:bCs/>
        </w:rPr>
        <w:t xml:space="preserve"> </w:t>
      </w:r>
    </w:p>
    <w:p w14:paraId="15F13466" w14:textId="184F7DC2" w:rsidR="0049721E" w:rsidRPr="0049721E" w:rsidRDefault="00616298" w:rsidP="0049721E">
      <w:pPr>
        <w:pStyle w:val="SingleTxtG"/>
        <w:rPr>
          <w:bCs/>
          <w:lang w:val="en-US"/>
        </w:rPr>
      </w:pPr>
      <w:r>
        <w:rPr>
          <w:bCs/>
          <w:lang w:val="en-US"/>
        </w:rPr>
        <w:t>25</w:t>
      </w:r>
      <w:r w:rsidR="0049721E">
        <w:rPr>
          <w:bCs/>
          <w:lang w:val="en-US"/>
        </w:rPr>
        <w:t>.</w:t>
      </w:r>
      <w:r w:rsidR="0049721E">
        <w:rPr>
          <w:bCs/>
          <w:lang w:val="en-US"/>
        </w:rPr>
        <w:tab/>
      </w:r>
      <w:r w:rsidR="0049721E" w:rsidRPr="0049721E">
        <w:rPr>
          <w:bCs/>
          <w:lang w:val="en-US"/>
        </w:rPr>
        <w:t>The Committee remains concerned about</w:t>
      </w:r>
      <w:r w:rsidR="00C657CA">
        <w:rPr>
          <w:bCs/>
          <w:lang w:val="en-US"/>
        </w:rPr>
        <w:t xml:space="preserve"> </w:t>
      </w:r>
      <w:r w:rsidR="0049721E" w:rsidRPr="0049721E">
        <w:rPr>
          <w:bCs/>
          <w:lang w:val="en-US"/>
        </w:rPr>
        <w:t>unreasonable, burdensome and restrictive requirements for registration of political parties and public associations</w:t>
      </w:r>
      <w:r w:rsidR="00D935FA">
        <w:rPr>
          <w:bCs/>
          <w:lang w:val="en-US"/>
        </w:rPr>
        <w:t xml:space="preserve"> as well as </w:t>
      </w:r>
      <w:r w:rsidR="00247ADD">
        <w:rPr>
          <w:bCs/>
          <w:lang w:val="en-US"/>
        </w:rPr>
        <w:t xml:space="preserve">about </w:t>
      </w:r>
      <w:r w:rsidR="00D935FA">
        <w:rPr>
          <w:bCs/>
          <w:lang w:val="en-US"/>
        </w:rPr>
        <w:t xml:space="preserve">termination of registration of international human rights organizations or </w:t>
      </w:r>
      <w:r w:rsidR="00DA5CF0">
        <w:rPr>
          <w:bCs/>
          <w:lang w:val="en-US"/>
        </w:rPr>
        <w:t>other obstacles to</w:t>
      </w:r>
      <w:r w:rsidR="0051581E">
        <w:rPr>
          <w:bCs/>
          <w:lang w:val="en-US"/>
        </w:rPr>
        <w:t xml:space="preserve"> </w:t>
      </w:r>
      <w:r w:rsidR="00D935FA">
        <w:rPr>
          <w:bCs/>
          <w:lang w:val="en-US"/>
        </w:rPr>
        <w:t xml:space="preserve">the work of </w:t>
      </w:r>
      <w:r w:rsidR="0049721E" w:rsidRPr="0049721E">
        <w:rPr>
          <w:bCs/>
          <w:lang w:val="en-US"/>
        </w:rPr>
        <w:t>human rights NGOs (arts. 19, 22 and 25)</w:t>
      </w:r>
      <w:r w:rsidR="00733832">
        <w:rPr>
          <w:bCs/>
          <w:lang w:val="en-US"/>
        </w:rPr>
        <w:t>.</w:t>
      </w:r>
    </w:p>
    <w:p w14:paraId="6173EE17" w14:textId="77777777" w:rsidR="00E4032C" w:rsidRPr="0049721E" w:rsidRDefault="0049721E" w:rsidP="001403AC">
      <w:pPr>
        <w:pStyle w:val="SingleTxtG"/>
        <w:rPr>
          <w:b/>
          <w:bCs/>
          <w:lang w:val="en-US"/>
        </w:rPr>
      </w:pPr>
      <w:r w:rsidRPr="0049721E">
        <w:rPr>
          <w:b/>
          <w:bCs/>
          <w:lang w:val="en-US"/>
        </w:rPr>
        <w:t xml:space="preserve">The Committee reiterates its recommendation (CCPR/C/UZB/CO/3, para. 25) that the State party should bring its regulations and practice governing the registration of </w:t>
      </w:r>
      <w:r w:rsidRPr="0049721E">
        <w:rPr>
          <w:b/>
          <w:bCs/>
          <w:lang w:val="en-US"/>
        </w:rPr>
        <w:lastRenderedPageBreak/>
        <w:t>political parties and NGOs</w:t>
      </w:r>
      <w:r w:rsidR="00EA6B2A">
        <w:rPr>
          <w:b/>
          <w:bCs/>
          <w:lang w:val="en-US"/>
        </w:rPr>
        <w:t xml:space="preserve"> in </w:t>
      </w:r>
      <w:r w:rsidRPr="0049721E">
        <w:rPr>
          <w:b/>
          <w:bCs/>
          <w:lang w:val="en-US"/>
        </w:rPr>
        <w:t xml:space="preserve">full compliance with the provisions of articles 19, 22 and 25 of the Covenant. </w:t>
      </w:r>
      <w:r w:rsidR="000A55CB">
        <w:rPr>
          <w:b/>
          <w:bCs/>
          <w:lang w:val="en-US"/>
        </w:rPr>
        <w:t xml:space="preserve"> </w:t>
      </w:r>
    </w:p>
    <w:p w14:paraId="3781DBAC" w14:textId="77777777" w:rsidR="00BE6CFC" w:rsidRDefault="00BE6CFC" w:rsidP="005421B3">
      <w:pPr>
        <w:pStyle w:val="SingleTxtG"/>
        <w:rPr>
          <w:b/>
          <w:bCs/>
        </w:rPr>
      </w:pPr>
      <w:r w:rsidRPr="00EA6B2A">
        <w:rPr>
          <w:b/>
          <w:bCs/>
        </w:rPr>
        <w:t>Participation in public life</w:t>
      </w:r>
    </w:p>
    <w:p w14:paraId="0BD51DDE" w14:textId="61A0BED1" w:rsidR="00670325" w:rsidRPr="00FB2BC4" w:rsidRDefault="00616298" w:rsidP="00FB2BC4">
      <w:pPr>
        <w:pStyle w:val="SingleTxtG"/>
      </w:pPr>
      <w:r>
        <w:t>26</w:t>
      </w:r>
      <w:r w:rsidR="00E4032C" w:rsidRPr="00FB2BC4">
        <w:t>.</w:t>
      </w:r>
      <w:r w:rsidR="00081489" w:rsidRPr="00FB2BC4">
        <w:tab/>
      </w:r>
      <w:r w:rsidR="00670325" w:rsidRPr="00FB2BC4">
        <w:t xml:space="preserve">The Committee is concerned about reports that opposition political parties </w:t>
      </w:r>
      <w:proofErr w:type="gramStart"/>
      <w:r w:rsidR="00670325" w:rsidRPr="00FB2BC4">
        <w:t>are denied</w:t>
      </w:r>
      <w:proofErr w:type="gramEnd"/>
      <w:r w:rsidR="00670325" w:rsidRPr="00FB2BC4">
        <w:t xml:space="preserve"> registration and participation in elections. </w:t>
      </w:r>
      <w:proofErr w:type="gramStart"/>
      <w:r w:rsidR="00670325" w:rsidRPr="00FB2BC4">
        <w:t xml:space="preserve">It is also concerned that the current electoral legal framework appears not to ensure the right of citizens to genuinely take part in the conduct of public affairs, to vote and to be elected, due to a number of undue limitations, including long residency and language proficiency requirements, professional exclusions and </w:t>
      </w:r>
      <w:r w:rsidR="007D2F89" w:rsidRPr="00FB2BC4">
        <w:t>comprehensive</w:t>
      </w:r>
      <w:r w:rsidR="00670325" w:rsidRPr="00FB2BC4">
        <w:t xml:space="preserve"> restrictions for </w:t>
      </w:r>
      <w:r w:rsidR="007D2F89" w:rsidRPr="00FB2BC4">
        <w:t>anyone</w:t>
      </w:r>
      <w:r w:rsidR="00670325" w:rsidRPr="00FB2BC4">
        <w:t xml:space="preserve"> convicted of a crime, and the denial of the right to vote to those declared incapacitated by a court or serving a prison sentence</w:t>
      </w:r>
      <w:r w:rsidR="0051581E" w:rsidRPr="00FB2BC4">
        <w:t xml:space="preserve"> The Committee is also concerned about reports that 2014 </w:t>
      </w:r>
      <w:r w:rsidR="00FD57F4" w:rsidRPr="00FB2BC4">
        <w:t>parliamentary and 2015 presidential elections were conducted in absence of genuine competition and that, despite the limit of presidential terms contained in the Constitution, the incumbent was registered as a candidate</w:t>
      </w:r>
      <w:r w:rsidR="00670325" w:rsidRPr="00FB2BC4">
        <w:t xml:space="preserve"> (arts. 2, 19, 21, 22 </w:t>
      </w:r>
      <w:r w:rsidR="007D2F89" w:rsidRPr="00FB2BC4">
        <w:t xml:space="preserve">and </w:t>
      </w:r>
      <w:r w:rsidR="00670325" w:rsidRPr="00FB2BC4">
        <w:t>25).</w:t>
      </w:r>
      <w:proofErr w:type="gramEnd"/>
      <w:r w:rsidR="00670325" w:rsidRPr="00FB2BC4">
        <w:t xml:space="preserve"> </w:t>
      </w:r>
    </w:p>
    <w:p w14:paraId="09E792F6" w14:textId="6EC5464B" w:rsidR="006A0C2B" w:rsidRDefault="00670325" w:rsidP="006A0C2B">
      <w:pPr>
        <w:pStyle w:val="SingleTxtG"/>
        <w:rPr>
          <w:b/>
          <w:bCs/>
        </w:rPr>
      </w:pPr>
      <w:r w:rsidRPr="00670325">
        <w:rPr>
          <w:b/>
          <w:bCs/>
        </w:rPr>
        <w:t xml:space="preserve">The State party should bring its electoral legal framework in compliance with the Covenant, including with article 25, inter alia by: </w:t>
      </w:r>
    </w:p>
    <w:p w14:paraId="13FD9B85" w14:textId="77777777" w:rsidR="006A0C2B" w:rsidRPr="00081489" w:rsidRDefault="00081489" w:rsidP="00081489">
      <w:pPr>
        <w:pStyle w:val="SingleTxtG"/>
        <w:rPr>
          <w:b/>
        </w:rPr>
      </w:pPr>
      <w:r>
        <w:rPr>
          <w:b/>
        </w:rPr>
        <w:tab/>
      </w:r>
      <w:r w:rsidRPr="00081489">
        <w:rPr>
          <w:b/>
        </w:rPr>
        <w:t>(a)</w:t>
      </w:r>
      <w:r w:rsidRPr="00081489">
        <w:rPr>
          <w:b/>
        </w:rPr>
        <w:tab/>
      </w:r>
      <w:r w:rsidR="00670325" w:rsidRPr="00081489">
        <w:rPr>
          <w:b/>
        </w:rPr>
        <w:t>Fostering a culture of political pluralism and refraining from arbitrarily denying registration to opposition political parties and preventing their participation in elections;</w:t>
      </w:r>
    </w:p>
    <w:p w14:paraId="034400FB" w14:textId="77777777" w:rsidR="006A0C2B" w:rsidRPr="00081489" w:rsidRDefault="00081489" w:rsidP="00081489">
      <w:pPr>
        <w:pStyle w:val="SingleTxtG"/>
        <w:rPr>
          <w:b/>
        </w:rPr>
      </w:pPr>
      <w:r>
        <w:rPr>
          <w:b/>
        </w:rPr>
        <w:tab/>
      </w:r>
      <w:r w:rsidRPr="00081489">
        <w:rPr>
          <w:b/>
        </w:rPr>
        <w:t>(b)</w:t>
      </w:r>
      <w:r w:rsidRPr="00081489">
        <w:rPr>
          <w:b/>
        </w:rPr>
        <w:tab/>
      </w:r>
      <w:r w:rsidR="00670325" w:rsidRPr="00081489">
        <w:rPr>
          <w:b/>
        </w:rPr>
        <w:t>Ensuring freedom of genuine and pluralistic political debate</w:t>
      </w:r>
      <w:proofErr w:type="gramStart"/>
      <w:r w:rsidR="00670325" w:rsidRPr="00081489">
        <w:rPr>
          <w:b/>
        </w:rPr>
        <w:t>;</w:t>
      </w:r>
      <w:proofErr w:type="gramEnd"/>
    </w:p>
    <w:p w14:paraId="51CA652A" w14:textId="60FFA9CE" w:rsidR="003E5BD0" w:rsidRDefault="00081489" w:rsidP="0064130E">
      <w:pPr>
        <w:pStyle w:val="SingleTxtG"/>
        <w:rPr>
          <w:b/>
        </w:rPr>
      </w:pPr>
      <w:r>
        <w:rPr>
          <w:b/>
        </w:rPr>
        <w:tab/>
      </w:r>
      <w:r w:rsidRPr="00081489">
        <w:rPr>
          <w:b/>
        </w:rPr>
        <w:t>(c)</w:t>
      </w:r>
      <w:r w:rsidRPr="00081489">
        <w:rPr>
          <w:b/>
        </w:rPr>
        <w:tab/>
      </w:r>
      <w:r w:rsidR="00670325" w:rsidRPr="00081489">
        <w:rPr>
          <w:b/>
        </w:rPr>
        <w:t>Revising the limit</w:t>
      </w:r>
      <w:r w:rsidR="00583A56">
        <w:rPr>
          <w:b/>
        </w:rPr>
        <w:t>ation</w:t>
      </w:r>
      <w:r w:rsidR="00670325" w:rsidRPr="00081489">
        <w:rPr>
          <w:b/>
        </w:rPr>
        <w:t>s on the right to stand for elections and on the right to vote with a view to ensuring their compatibility with the Covenant</w:t>
      </w:r>
      <w:proofErr w:type="gramStart"/>
      <w:r w:rsidR="00583A56">
        <w:rPr>
          <w:b/>
        </w:rPr>
        <w:t>;</w:t>
      </w:r>
      <w:proofErr w:type="gramEnd"/>
    </w:p>
    <w:p w14:paraId="33EA034B" w14:textId="40887161" w:rsidR="00583A56" w:rsidRDefault="00583A56" w:rsidP="00AE3659">
      <w:pPr>
        <w:pStyle w:val="SingleTxtG"/>
        <w:ind w:firstLine="567"/>
        <w:rPr>
          <w:b/>
        </w:rPr>
      </w:pPr>
      <w:r>
        <w:rPr>
          <w:b/>
        </w:rPr>
        <w:t xml:space="preserve">(d) </w:t>
      </w:r>
      <w:r>
        <w:rPr>
          <w:b/>
        </w:rPr>
        <w:tab/>
      </w:r>
      <w:r w:rsidR="00F3609E" w:rsidRPr="00F3609E">
        <w:rPr>
          <w:b/>
        </w:rPr>
        <w:t xml:space="preserve">Ensuring that </w:t>
      </w:r>
      <w:r w:rsidR="00F3609E">
        <w:rPr>
          <w:b/>
        </w:rPr>
        <w:t xml:space="preserve">the </w:t>
      </w:r>
      <w:r w:rsidR="00F3609E" w:rsidRPr="00F3609E">
        <w:rPr>
          <w:b/>
        </w:rPr>
        <w:t xml:space="preserve">constitutional requirement limiting the presidential terms </w:t>
      </w:r>
      <w:proofErr w:type="gramStart"/>
      <w:r w:rsidR="00F3609E">
        <w:rPr>
          <w:b/>
        </w:rPr>
        <w:t xml:space="preserve">is </w:t>
      </w:r>
      <w:r w:rsidR="00F3609E" w:rsidRPr="00F3609E">
        <w:rPr>
          <w:b/>
        </w:rPr>
        <w:t>respected</w:t>
      </w:r>
      <w:proofErr w:type="gramEnd"/>
      <w:r w:rsidR="00F3609E" w:rsidRPr="00F3609E">
        <w:rPr>
          <w:b/>
        </w:rPr>
        <w:t xml:space="preserve"> when registering candidates for presidential elections</w:t>
      </w:r>
      <w:r w:rsidR="001C257B">
        <w:rPr>
          <w:b/>
        </w:rPr>
        <w:t>.</w:t>
      </w:r>
    </w:p>
    <w:p w14:paraId="6B86C130" w14:textId="50317E57" w:rsidR="00E3620E" w:rsidRPr="00E3620E" w:rsidRDefault="00E3620E" w:rsidP="00E3620E">
      <w:pPr>
        <w:keepNext/>
        <w:keepLines/>
        <w:tabs>
          <w:tab w:val="right" w:pos="851"/>
        </w:tabs>
        <w:spacing w:before="240" w:after="120" w:line="240" w:lineRule="exact"/>
        <w:ind w:left="1134" w:right="1134" w:hanging="1134"/>
        <w:rPr>
          <w:b/>
          <w:sz w:val="24"/>
        </w:rPr>
      </w:pPr>
      <w:r w:rsidRPr="00E3620E">
        <w:rPr>
          <w:b/>
          <w:sz w:val="24"/>
        </w:rPr>
        <w:tab/>
      </w:r>
      <w:r w:rsidRPr="00E3620E">
        <w:rPr>
          <w:b/>
          <w:sz w:val="24"/>
        </w:rPr>
        <w:tab/>
        <w:t xml:space="preserve">Dissemination of information relating to the Covenant </w:t>
      </w:r>
    </w:p>
    <w:p w14:paraId="2BAE49EC" w14:textId="708F1048" w:rsidR="00E3620E" w:rsidRPr="00BD6BC6" w:rsidRDefault="00616298" w:rsidP="00E3620E">
      <w:pPr>
        <w:spacing w:after="120"/>
        <w:ind w:left="1134" w:right="1134"/>
        <w:jc w:val="both"/>
      </w:pPr>
      <w:r>
        <w:t>27.</w:t>
      </w:r>
      <w:r>
        <w:tab/>
      </w:r>
      <w:r w:rsidR="00E3620E" w:rsidRPr="00BD6BC6">
        <w:t xml:space="preserve">The State party should widely disseminate the Covenant and the First Optional </w:t>
      </w:r>
      <w:r w:rsidR="00E3620E" w:rsidRPr="00BD6BC6">
        <w:rPr>
          <w:rFonts w:eastAsia="MS Mincho"/>
          <w:lang w:eastAsia="ja-JP"/>
        </w:rPr>
        <w:t>Protocol</w:t>
      </w:r>
      <w:r w:rsidR="00E3620E" w:rsidRPr="00BD6BC6">
        <w:t xml:space="preserve">, the text of its fourth periodic report and the present concluding observations among the judicial, legislative and administrative authorities, civil society and non-governmental organizations operating in the country, as well as the </w:t>
      </w:r>
      <w:proofErr w:type="gramStart"/>
      <w:r w:rsidR="00E3620E" w:rsidRPr="00BD6BC6">
        <w:t>general public</w:t>
      </w:r>
      <w:proofErr w:type="gramEnd"/>
      <w:r w:rsidR="00E3620E" w:rsidRPr="00BD6BC6">
        <w:t xml:space="preserve">. </w:t>
      </w:r>
    </w:p>
    <w:p w14:paraId="5856A365" w14:textId="1DCB1E96" w:rsidR="00E3620E" w:rsidRPr="00BD6BC6" w:rsidRDefault="00616298" w:rsidP="00E3620E">
      <w:pPr>
        <w:spacing w:after="120"/>
        <w:ind w:left="1134" w:right="1134"/>
        <w:jc w:val="both"/>
      </w:pPr>
      <w:r>
        <w:t>28.</w:t>
      </w:r>
      <w:r>
        <w:tab/>
      </w:r>
      <w:r w:rsidR="00E3620E" w:rsidRPr="00BD6BC6">
        <w:t>In accordance with rule 71, paragraph 5, of the Committee’s rules of procedure, the State party should provide, within one year, relevant information on its implementation of the Committee’s recommendations made in paragraphs </w:t>
      </w:r>
      <w:r w:rsidR="00C85272">
        <w:t>11 (</w:t>
      </w:r>
      <w:r w:rsidR="00343DDE">
        <w:t>S</w:t>
      </w:r>
      <w:r w:rsidR="00C85272" w:rsidRPr="00C85272">
        <w:t>tate of emergency and counter-terrorism</w:t>
      </w:r>
      <w:r w:rsidR="00C85272">
        <w:t xml:space="preserve">), </w:t>
      </w:r>
      <w:r w:rsidR="00343DDE">
        <w:t>13 (T</w:t>
      </w:r>
      <w:r w:rsidR="00FC236E">
        <w:t>orture)</w:t>
      </w:r>
      <w:r w:rsidR="00E3620E" w:rsidRPr="00BD6BC6">
        <w:t xml:space="preserve"> and </w:t>
      </w:r>
      <w:r w:rsidR="00343DDE">
        <w:t>19 (F</w:t>
      </w:r>
      <w:r w:rsidR="00FC236E">
        <w:t>orced labour)</w:t>
      </w:r>
      <w:r w:rsidR="00E3620E" w:rsidRPr="00BD6BC6">
        <w:t xml:space="preserve"> above. </w:t>
      </w:r>
    </w:p>
    <w:p w14:paraId="0EC75088" w14:textId="68B39A9E" w:rsidR="00E3620E" w:rsidRPr="00BD6BC6" w:rsidRDefault="00616298" w:rsidP="00E3620E">
      <w:pPr>
        <w:spacing w:after="120"/>
        <w:ind w:left="1134" w:right="1134"/>
        <w:jc w:val="both"/>
      </w:pPr>
      <w:r>
        <w:t>29.</w:t>
      </w:r>
      <w:r>
        <w:tab/>
      </w:r>
      <w:r w:rsidR="00E3620E" w:rsidRPr="00BD6BC6">
        <w:t xml:space="preserve">The Committee requests that the State party submit its next periodic report on </w:t>
      </w:r>
      <w:r w:rsidR="00E3620E">
        <w:t xml:space="preserve">24 July 2018 </w:t>
      </w:r>
      <w:r w:rsidR="00E3620E" w:rsidRPr="00BD6BC6">
        <w:t>and that it include in it specific up-to-date information on the implementation of all its recommendations and on the Covenant as a whole. The Committee requests that the State party, in preparing the report, broadly consult civil society and NGOs operating in the country. In accordance with General Assembly resolution 68/268, the word limit for the report is 21,200 words.</w:t>
      </w:r>
    </w:p>
    <w:p w14:paraId="5C97CBAE" w14:textId="77777777" w:rsidR="009B578C" w:rsidRDefault="003E5BD0" w:rsidP="00961150">
      <w:pPr>
        <w:spacing w:before="240"/>
        <w:ind w:left="1134" w:right="1134"/>
        <w:jc w:val="center"/>
      </w:pPr>
      <w:r>
        <w:rPr>
          <w:u w:val="single"/>
        </w:rPr>
        <w:tab/>
      </w:r>
      <w:r>
        <w:rPr>
          <w:u w:val="single"/>
        </w:rPr>
        <w:tab/>
      </w:r>
      <w:r>
        <w:rPr>
          <w:u w:val="single"/>
        </w:rPr>
        <w:tab/>
      </w:r>
    </w:p>
    <w:sectPr w:rsidR="009B578C" w:rsidSect="003E1362">
      <w:footerReference w:type="even" r:id="rId9"/>
      <w:footerReference w:type="default" r:id="rId10"/>
      <w:endnotePr>
        <w:numFmt w:val="decimal"/>
      </w:endnotePr>
      <w:pgSz w:w="11907" w:h="16840" w:code="9"/>
      <w:pgMar w:top="1701" w:right="1134" w:bottom="2268" w:left="1134" w:header="1134" w:footer="1411" w:gutter="0"/>
      <w:cols w:space="720"/>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7B8E5" w15:done="0"/>
  <w15:commentEx w15:paraId="78DF7F83" w15:done="0"/>
  <w15:commentEx w15:paraId="3CB1C4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5F60C" w14:textId="77777777" w:rsidR="0013121B" w:rsidRDefault="0013121B"/>
  </w:endnote>
  <w:endnote w:type="continuationSeparator" w:id="0">
    <w:p w14:paraId="45D89FA7" w14:textId="77777777" w:rsidR="0013121B" w:rsidRDefault="0013121B"/>
  </w:endnote>
  <w:endnote w:type="continuationNotice" w:id="1">
    <w:p w14:paraId="7A923B4E" w14:textId="77777777" w:rsidR="0013121B" w:rsidRDefault="0013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4A4E" w14:textId="77777777" w:rsidR="005421B3" w:rsidRPr="00BA107D" w:rsidRDefault="005421B3" w:rsidP="00BA107D">
    <w:pPr>
      <w:pStyle w:val="Footer"/>
      <w:tabs>
        <w:tab w:val="right" w:pos="9638"/>
      </w:tabs>
    </w:pPr>
    <w:r w:rsidRPr="00BA107D">
      <w:rPr>
        <w:b/>
        <w:sz w:val="18"/>
      </w:rPr>
      <w:fldChar w:fldCharType="begin"/>
    </w:r>
    <w:r w:rsidRPr="00BA107D">
      <w:rPr>
        <w:b/>
        <w:sz w:val="18"/>
      </w:rPr>
      <w:instrText xml:space="preserve"> PAGE  \* MERGEFORMAT </w:instrText>
    </w:r>
    <w:r w:rsidRPr="00BA107D">
      <w:rPr>
        <w:b/>
        <w:sz w:val="18"/>
      </w:rPr>
      <w:fldChar w:fldCharType="separate"/>
    </w:r>
    <w:r w:rsidR="00F658E6">
      <w:rPr>
        <w:b/>
        <w:noProof/>
        <w:sz w:val="18"/>
      </w:rPr>
      <w:t>2</w:t>
    </w:r>
    <w:r w:rsidRPr="00BA107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690EF" w14:textId="77777777" w:rsidR="005421B3" w:rsidRPr="00BA107D" w:rsidRDefault="005421B3" w:rsidP="00BA107D">
    <w:pPr>
      <w:pStyle w:val="Footer"/>
      <w:tabs>
        <w:tab w:val="right" w:pos="9638"/>
      </w:tabs>
      <w:rPr>
        <w:b/>
        <w:sz w:val="18"/>
      </w:rPr>
    </w:pPr>
    <w:r>
      <w:tab/>
    </w:r>
    <w:r w:rsidRPr="00BA107D">
      <w:rPr>
        <w:b/>
        <w:sz w:val="18"/>
      </w:rPr>
      <w:fldChar w:fldCharType="begin"/>
    </w:r>
    <w:r w:rsidRPr="00BA107D">
      <w:rPr>
        <w:b/>
        <w:sz w:val="18"/>
      </w:rPr>
      <w:instrText xml:space="preserve"> PAGE  \* MERGEFORMAT </w:instrText>
    </w:r>
    <w:r w:rsidRPr="00BA107D">
      <w:rPr>
        <w:b/>
        <w:sz w:val="18"/>
      </w:rPr>
      <w:fldChar w:fldCharType="separate"/>
    </w:r>
    <w:r w:rsidR="00F658E6">
      <w:rPr>
        <w:b/>
        <w:noProof/>
        <w:sz w:val="18"/>
      </w:rPr>
      <w:t>3</w:t>
    </w:r>
    <w:r w:rsidRPr="00BA107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EBF55" w14:textId="77777777" w:rsidR="0013121B" w:rsidRPr="000B175B" w:rsidRDefault="0013121B" w:rsidP="000B175B">
      <w:pPr>
        <w:tabs>
          <w:tab w:val="right" w:pos="2155"/>
        </w:tabs>
        <w:spacing w:after="80"/>
        <w:ind w:left="680"/>
        <w:rPr>
          <w:u w:val="single"/>
        </w:rPr>
      </w:pPr>
      <w:r>
        <w:rPr>
          <w:u w:val="single"/>
        </w:rPr>
        <w:tab/>
      </w:r>
    </w:p>
  </w:footnote>
  <w:footnote w:type="continuationSeparator" w:id="0">
    <w:p w14:paraId="4153858B" w14:textId="77777777" w:rsidR="0013121B" w:rsidRPr="00FC68B7" w:rsidRDefault="0013121B" w:rsidP="00FC68B7">
      <w:pPr>
        <w:tabs>
          <w:tab w:val="left" w:pos="2155"/>
        </w:tabs>
        <w:spacing w:after="80"/>
        <w:ind w:left="680"/>
        <w:rPr>
          <w:u w:val="single"/>
        </w:rPr>
      </w:pPr>
      <w:r>
        <w:rPr>
          <w:u w:val="single"/>
        </w:rPr>
        <w:tab/>
      </w:r>
    </w:p>
  </w:footnote>
  <w:footnote w:type="continuationNotice" w:id="1">
    <w:p w14:paraId="24CEB957" w14:textId="77777777" w:rsidR="0013121B" w:rsidRDefault="0013121B"/>
  </w:footnote>
  <w:footnote w:id="2">
    <w:p w14:paraId="6E2F74DC" w14:textId="4F2293D2" w:rsidR="009B1514" w:rsidRPr="00801E0C" w:rsidRDefault="009B1514" w:rsidP="009B1514">
      <w:pPr>
        <w:pStyle w:val="FootnoteText"/>
      </w:pPr>
      <w:r>
        <w:rPr>
          <w:rStyle w:val="FootnoteReference"/>
        </w:rPr>
        <w:tab/>
      </w:r>
      <w:r w:rsidRPr="00804557">
        <w:rPr>
          <w:rStyle w:val="FootnoteReference"/>
          <w:sz w:val="20"/>
          <w:vertAlign w:val="baseline"/>
        </w:rPr>
        <w:t>*</w:t>
      </w:r>
      <w:r w:rsidRPr="00804557">
        <w:tab/>
      </w:r>
      <w:r w:rsidR="008E1994">
        <w:t xml:space="preserve"> </w:t>
      </w:r>
      <w:proofErr w:type="gramStart"/>
      <w:r w:rsidR="008E1994">
        <w:t>Adopted by the Committee at its 114th</w:t>
      </w:r>
      <w:r w:rsidR="008E1994">
        <w:rPr>
          <w:color w:val="FF0000"/>
        </w:rPr>
        <w:t xml:space="preserve"> </w:t>
      </w:r>
      <w:r w:rsidR="008E1994" w:rsidRPr="00F658E6">
        <w:t xml:space="preserve">session (29 </w:t>
      </w:r>
      <w:bookmarkStart w:id="0" w:name="_GoBack"/>
      <w:r w:rsidR="008E1994" w:rsidRPr="00F658E6">
        <w:t>J</w:t>
      </w:r>
      <w:bookmarkEnd w:id="0"/>
      <w:r w:rsidR="008E1994" w:rsidRPr="00F658E6">
        <w:t>une–24 July 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3E6965"/>
    <w:multiLevelType w:val="multilevel"/>
    <w:tmpl w:val="3E0224AC"/>
    <w:lvl w:ilvl="0">
      <w:start w:val="1"/>
      <w:numFmt w:val="lowerRoman"/>
      <w:lvlText w:val="(%1)"/>
      <w:lvlJc w:val="left"/>
      <w:pPr>
        <w:ind w:left="1854" w:firstLine="1134"/>
      </w:pPr>
      <w:rPr>
        <w:vertAlign w:val="baseline"/>
      </w:rPr>
    </w:lvl>
    <w:lvl w:ilvl="1">
      <w:start w:val="1"/>
      <w:numFmt w:val="lowerLetter"/>
      <w:lvlText w:val="%2."/>
      <w:lvlJc w:val="left"/>
      <w:pPr>
        <w:ind w:left="2214" w:firstLine="1854"/>
      </w:pPr>
      <w:rPr>
        <w:vertAlign w:val="baseline"/>
      </w:rPr>
    </w:lvl>
    <w:lvl w:ilvl="2">
      <w:start w:val="1"/>
      <w:numFmt w:val="lowerRoman"/>
      <w:lvlText w:val="%3."/>
      <w:lvlJc w:val="right"/>
      <w:pPr>
        <w:ind w:left="2934" w:firstLine="2754"/>
      </w:pPr>
      <w:rPr>
        <w:vertAlign w:val="baseline"/>
      </w:rPr>
    </w:lvl>
    <w:lvl w:ilvl="3">
      <w:start w:val="1"/>
      <w:numFmt w:val="decimal"/>
      <w:lvlText w:val="%4."/>
      <w:lvlJc w:val="left"/>
      <w:pPr>
        <w:ind w:left="3654" w:firstLine="3294"/>
      </w:pPr>
      <w:rPr>
        <w:vertAlign w:val="baseline"/>
      </w:rPr>
    </w:lvl>
    <w:lvl w:ilvl="4">
      <w:start w:val="1"/>
      <w:numFmt w:val="lowerLetter"/>
      <w:lvlText w:val="%5."/>
      <w:lvlJc w:val="left"/>
      <w:pPr>
        <w:ind w:left="4374" w:firstLine="4014"/>
      </w:pPr>
      <w:rPr>
        <w:vertAlign w:val="baseline"/>
      </w:rPr>
    </w:lvl>
    <w:lvl w:ilvl="5">
      <w:start w:val="1"/>
      <w:numFmt w:val="lowerRoman"/>
      <w:lvlText w:val="%6."/>
      <w:lvlJc w:val="right"/>
      <w:pPr>
        <w:ind w:left="5094" w:firstLine="4914"/>
      </w:pPr>
      <w:rPr>
        <w:vertAlign w:val="baseline"/>
      </w:rPr>
    </w:lvl>
    <w:lvl w:ilvl="6">
      <w:start w:val="1"/>
      <w:numFmt w:val="decimal"/>
      <w:lvlText w:val="%7."/>
      <w:lvlJc w:val="left"/>
      <w:pPr>
        <w:ind w:left="5814" w:firstLine="5454"/>
      </w:pPr>
      <w:rPr>
        <w:vertAlign w:val="baseline"/>
      </w:rPr>
    </w:lvl>
    <w:lvl w:ilvl="7">
      <w:start w:val="1"/>
      <w:numFmt w:val="lowerLetter"/>
      <w:lvlText w:val="%8."/>
      <w:lvlJc w:val="left"/>
      <w:pPr>
        <w:ind w:left="6534" w:firstLine="6174"/>
      </w:pPr>
      <w:rPr>
        <w:vertAlign w:val="baseline"/>
      </w:rPr>
    </w:lvl>
    <w:lvl w:ilvl="8">
      <w:start w:val="1"/>
      <w:numFmt w:val="lowerRoman"/>
      <w:lvlText w:val="%9."/>
      <w:lvlJc w:val="right"/>
      <w:pPr>
        <w:ind w:left="7254" w:firstLine="7074"/>
      </w:pPr>
      <w:rPr>
        <w:vertAlign w:val="baseline"/>
      </w:rPr>
    </w:lvl>
  </w:abstractNum>
  <w:abstractNum w:abstractNumId="2">
    <w:nsid w:val="09C751B5"/>
    <w:multiLevelType w:val="hybridMultilevel"/>
    <w:tmpl w:val="40CADF3C"/>
    <w:lvl w:ilvl="0" w:tplc="BE4CECD4">
      <w:start w:val="4"/>
      <w:numFmt w:val="decimal"/>
      <w:lvlText w:val="%1."/>
      <w:lvlJc w:val="left"/>
      <w:pPr>
        <w:ind w:left="1854" w:hanging="360"/>
      </w:pPr>
      <w:rPr>
        <w:rFonts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06F2B3D"/>
    <w:multiLevelType w:val="hybridMultilevel"/>
    <w:tmpl w:val="B9BCF2A8"/>
    <w:lvl w:ilvl="0" w:tplc="DAD6D0E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33C9A"/>
    <w:multiLevelType w:val="hybridMultilevel"/>
    <w:tmpl w:val="94423554"/>
    <w:lvl w:ilvl="0" w:tplc="EC58A6AC">
      <w:start w:val="1"/>
      <w:numFmt w:val="lowerLetter"/>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10073"/>
    <w:multiLevelType w:val="multilevel"/>
    <w:tmpl w:val="F2AE80F4"/>
    <w:lvl w:ilvl="0">
      <w:start w:val="1"/>
      <w:numFmt w:val="lowerLetter"/>
      <w:lvlText w:val="(%1)"/>
      <w:lvlJc w:val="left"/>
      <w:pPr>
        <w:ind w:left="1494" w:firstLine="1134"/>
      </w:pPr>
      <w:rPr>
        <w:vertAlign w:val="baseline"/>
      </w:rPr>
    </w:lvl>
    <w:lvl w:ilvl="1">
      <w:start w:val="1"/>
      <w:numFmt w:val="lowerLetter"/>
      <w:lvlText w:val="%2."/>
      <w:lvlJc w:val="left"/>
      <w:pPr>
        <w:ind w:left="2214" w:firstLine="1854"/>
      </w:pPr>
      <w:rPr>
        <w:vertAlign w:val="baseline"/>
      </w:rPr>
    </w:lvl>
    <w:lvl w:ilvl="2">
      <w:start w:val="1"/>
      <w:numFmt w:val="lowerRoman"/>
      <w:lvlText w:val="%3."/>
      <w:lvlJc w:val="right"/>
      <w:pPr>
        <w:ind w:left="2934" w:firstLine="2754"/>
      </w:pPr>
      <w:rPr>
        <w:vertAlign w:val="baseline"/>
      </w:rPr>
    </w:lvl>
    <w:lvl w:ilvl="3">
      <w:start w:val="1"/>
      <w:numFmt w:val="decimal"/>
      <w:lvlText w:val="%4."/>
      <w:lvlJc w:val="left"/>
      <w:pPr>
        <w:ind w:left="3654" w:firstLine="3294"/>
      </w:pPr>
      <w:rPr>
        <w:vertAlign w:val="baseline"/>
      </w:rPr>
    </w:lvl>
    <w:lvl w:ilvl="4">
      <w:start w:val="1"/>
      <w:numFmt w:val="lowerLetter"/>
      <w:lvlText w:val="%5."/>
      <w:lvlJc w:val="left"/>
      <w:pPr>
        <w:ind w:left="4374" w:firstLine="4014"/>
      </w:pPr>
      <w:rPr>
        <w:vertAlign w:val="baseline"/>
      </w:rPr>
    </w:lvl>
    <w:lvl w:ilvl="5">
      <w:start w:val="1"/>
      <w:numFmt w:val="lowerRoman"/>
      <w:lvlText w:val="%6."/>
      <w:lvlJc w:val="right"/>
      <w:pPr>
        <w:ind w:left="5094" w:firstLine="4914"/>
      </w:pPr>
      <w:rPr>
        <w:vertAlign w:val="baseline"/>
      </w:rPr>
    </w:lvl>
    <w:lvl w:ilvl="6">
      <w:start w:val="1"/>
      <w:numFmt w:val="decimal"/>
      <w:lvlText w:val="%7."/>
      <w:lvlJc w:val="left"/>
      <w:pPr>
        <w:ind w:left="5814" w:firstLine="5454"/>
      </w:pPr>
      <w:rPr>
        <w:vertAlign w:val="baseline"/>
      </w:rPr>
    </w:lvl>
    <w:lvl w:ilvl="7">
      <w:start w:val="1"/>
      <w:numFmt w:val="lowerLetter"/>
      <w:lvlText w:val="%8."/>
      <w:lvlJc w:val="left"/>
      <w:pPr>
        <w:ind w:left="6534" w:firstLine="6174"/>
      </w:pPr>
      <w:rPr>
        <w:vertAlign w:val="baseline"/>
      </w:rPr>
    </w:lvl>
    <w:lvl w:ilvl="8">
      <w:start w:val="1"/>
      <w:numFmt w:val="lowerRoman"/>
      <w:lvlText w:val="%9."/>
      <w:lvlJc w:val="right"/>
      <w:pPr>
        <w:ind w:left="7254" w:firstLine="7074"/>
      </w:pPr>
      <w:rPr>
        <w:vertAlign w:val="baseline"/>
      </w:rPr>
    </w:lvl>
  </w:abstractNum>
  <w:abstractNum w:abstractNumId="6">
    <w:nsid w:val="27BA3A96"/>
    <w:multiLevelType w:val="hybridMultilevel"/>
    <w:tmpl w:val="E78C6DDA"/>
    <w:lvl w:ilvl="0" w:tplc="A06A721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362A178A"/>
    <w:multiLevelType w:val="hybridMultilevel"/>
    <w:tmpl w:val="7DE43254"/>
    <w:lvl w:ilvl="0" w:tplc="6E5C19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38C2266C"/>
    <w:multiLevelType w:val="hybridMultilevel"/>
    <w:tmpl w:val="CE2E449C"/>
    <w:lvl w:ilvl="0" w:tplc="6EC62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084004"/>
    <w:multiLevelType w:val="hybridMultilevel"/>
    <w:tmpl w:val="C2EA2F42"/>
    <w:lvl w:ilvl="0" w:tplc="E55EE4B0">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71884"/>
    <w:multiLevelType w:val="hybridMultilevel"/>
    <w:tmpl w:val="166A5F26"/>
    <w:lvl w:ilvl="0" w:tplc="BB10D47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4AD33275"/>
    <w:multiLevelType w:val="hybridMultilevel"/>
    <w:tmpl w:val="54E8CAC2"/>
    <w:lvl w:ilvl="0" w:tplc="CB66B5D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4F704703"/>
    <w:multiLevelType w:val="hybridMultilevel"/>
    <w:tmpl w:val="40CADF3C"/>
    <w:lvl w:ilvl="0" w:tplc="BE4CECD4">
      <w:start w:val="4"/>
      <w:numFmt w:val="decimal"/>
      <w:lvlText w:val="%1."/>
      <w:lvlJc w:val="left"/>
      <w:pPr>
        <w:ind w:left="1854" w:hanging="360"/>
      </w:pPr>
      <w:rPr>
        <w:rFonts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52683759"/>
    <w:multiLevelType w:val="hybridMultilevel"/>
    <w:tmpl w:val="FEF0F090"/>
    <w:lvl w:ilvl="0" w:tplc="2BCA6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333B0F"/>
    <w:multiLevelType w:val="hybridMultilevel"/>
    <w:tmpl w:val="70F62052"/>
    <w:lvl w:ilvl="0" w:tplc="91C6EC3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59FA236F"/>
    <w:multiLevelType w:val="hybridMultilevel"/>
    <w:tmpl w:val="C312455C"/>
    <w:lvl w:ilvl="0" w:tplc="383246F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9054271"/>
    <w:multiLevelType w:val="hybridMultilevel"/>
    <w:tmpl w:val="DD8CC5FC"/>
    <w:lvl w:ilvl="0" w:tplc="D83E5ED8">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6C0F46A3"/>
    <w:multiLevelType w:val="hybridMultilevel"/>
    <w:tmpl w:val="CD7222F2"/>
    <w:lvl w:ilvl="0" w:tplc="AE66F3A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751D17B2"/>
    <w:multiLevelType w:val="hybridMultilevel"/>
    <w:tmpl w:val="D81094B4"/>
    <w:lvl w:ilvl="0" w:tplc="BBB6E36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756E3B50"/>
    <w:multiLevelType w:val="hybridMultilevel"/>
    <w:tmpl w:val="7D9C4388"/>
    <w:lvl w:ilvl="0" w:tplc="3E0808BC">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D67A08"/>
    <w:multiLevelType w:val="hybridMultilevel"/>
    <w:tmpl w:val="655E5F76"/>
    <w:lvl w:ilvl="0" w:tplc="05FAAF5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7FAD5504"/>
    <w:multiLevelType w:val="hybridMultilevel"/>
    <w:tmpl w:val="EA241C04"/>
    <w:lvl w:ilvl="0" w:tplc="213EC8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16"/>
  </w:num>
  <w:num w:numId="3">
    <w:abstractNumId w:val="5"/>
  </w:num>
  <w:num w:numId="4">
    <w:abstractNumId w:val="19"/>
  </w:num>
  <w:num w:numId="5">
    <w:abstractNumId w:val="10"/>
  </w:num>
  <w:num w:numId="6">
    <w:abstractNumId w:val="1"/>
  </w:num>
  <w:num w:numId="7">
    <w:abstractNumId w:val="2"/>
  </w:num>
  <w:num w:numId="8">
    <w:abstractNumId w:val="17"/>
  </w:num>
  <w:num w:numId="9">
    <w:abstractNumId w:val="9"/>
  </w:num>
  <w:num w:numId="10">
    <w:abstractNumId w:val="20"/>
  </w:num>
  <w:num w:numId="11">
    <w:abstractNumId w:val="4"/>
  </w:num>
  <w:num w:numId="12">
    <w:abstractNumId w:val="3"/>
  </w:num>
  <w:num w:numId="13">
    <w:abstractNumId w:val="11"/>
  </w:num>
  <w:num w:numId="14">
    <w:abstractNumId w:val="15"/>
  </w:num>
  <w:num w:numId="15">
    <w:abstractNumId w:val="7"/>
  </w:num>
  <w:num w:numId="16">
    <w:abstractNumId w:val="6"/>
  </w:num>
  <w:num w:numId="17">
    <w:abstractNumId w:val="12"/>
  </w:num>
  <w:num w:numId="18">
    <w:abstractNumId w:val="21"/>
  </w:num>
  <w:num w:numId="19">
    <w:abstractNumId w:val="8"/>
  </w:num>
  <w:num w:numId="20">
    <w:abstractNumId w:val="22"/>
  </w:num>
  <w:num w:numId="21">
    <w:abstractNumId w:val="13"/>
  </w:num>
  <w:num w:numId="22">
    <w:abstractNumId w:val="14"/>
  </w:num>
  <w:num w:numId="23">
    <w:abstractNumId w:val="18"/>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7D"/>
    <w:rsid w:val="00002A34"/>
    <w:rsid w:val="00026975"/>
    <w:rsid w:val="00026A65"/>
    <w:rsid w:val="000272B3"/>
    <w:rsid w:val="000313DF"/>
    <w:rsid w:val="00043A08"/>
    <w:rsid w:val="0004631E"/>
    <w:rsid w:val="00050F6B"/>
    <w:rsid w:val="00057E97"/>
    <w:rsid w:val="00060C3A"/>
    <w:rsid w:val="00067901"/>
    <w:rsid w:val="00072C8C"/>
    <w:rsid w:val="000733B5"/>
    <w:rsid w:val="00077034"/>
    <w:rsid w:val="00081489"/>
    <w:rsid w:val="00081815"/>
    <w:rsid w:val="000931C0"/>
    <w:rsid w:val="000978E4"/>
    <w:rsid w:val="000A0A49"/>
    <w:rsid w:val="000A55CB"/>
    <w:rsid w:val="000A6E9E"/>
    <w:rsid w:val="000B175B"/>
    <w:rsid w:val="000B3A0F"/>
    <w:rsid w:val="000B4EF7"/>
    <w:rsid w:val="000C1273"/>
    <w:rsid w:val="000C2C03"/>
    <w:rsid w:val="000C2D2E"/>
    <w:rsid w:val="000C4F19"/>
    <w:rsid w:val="000D21D1"/>
    <w:rsid w:val="000E0415"/>
    <w:rsid w:val="000E249D"/>
    <w:rsid w:val="000E6191"/>
    <w:rsid w:val="000F2EC3"/>
    <w:rsid w:val="000F34C8"/>
    <w:rsid w:val="0010551D"/>
    <w:rsid w:val="001103AA"/>
    <w:rsid w:val="00114895"/>
    <w:rsid w:val="00115853"/>
    <w:rsid w:val="00115EA1"/>
    <w:rsid w:val="0011675F"/>
    <w:rsid w:val="001200A8"/>
    <w:rsid w:val="0012769D"/>
    <w:rsid w:val="0013121B"/>
    <w:rsid w:val="0013635C"/>
    <w:rsid w:val="001403AC"/>
    <w:rsid w:val="0014760D"/>
    <w:rsid w:val="00152C02"/>
    <w:rsid w:val="00153576"/>
    <w:rsid w:val="00163826"/>
    <w:rsid w:val="00163F95"/>
    <w:rsid w:val="00165F3A"/>
    <w:rsid w:val="00174FB7"/>
    <w:rsid w:val="00176741"/>
    <w:rsid w:val="00183968"/>
    <w:rsid w:val="00183C36"/>
    <w:rsid w:val="00186037"/>
    <w:rsid w:val="0019250B"/>
    <w:rsid w:val="00192568"/>
    <w:rsid w:val="00193930"/>
    <w:rsid w:val="001A290A"/>
    <w:rsid w:val="001A65A2"/>
    <w:rsid w:val="001A6686"/>
    <w:rsid w:val="001A686B"/>
    <w:rsid w:val="001B4B04"/>
    <w:rsid w:val="001C257B"/>
    <w:rsid w:val="001C6663"/>
    <w:rsid w:val="001C7367"/>
    <w:rsid w:val="001C7895"/>
    <w:rsid w:val="001C78BE"/>
    <w:rsid w:val="001D0C8C"/>
    <w:rsid w:val="001D26DF"/>
    <w:rsid w:val="001D3A03"/>
    <w:rsid w:val="001D7EFB"/>
    <w:rsid w:val="001E55E4"/>
    <w:rsid w:val="001F1171"/>
    <w:rsid w:val="0020141D"/>
    <w:rsid w:val="00201D19"/>
    <w:rsid w:val="00202DA8"/>
    <w:rsid w:val="00203495"/>
    <w:rsid w:val="00211E0B"/>
    <w:rsid w:val="00221268"/>
    <w:rsid w:val="002248D8"/>
    <w:rsid w:val="00231737"/>
    <w:rsid w:val="0023210C"/>
    <w:rsid w:val="002329DC"/>
    <w:rsid w:val="00247ADD"/>
    <w:rsid w:val="002515EE"/>
    <w:rsid w:val="00252FCF"/>
    <w:rsid w:val="00263FDD"/>
    <w:rsid w:val="00265C77"/>
    <w:rsid w:val="00267F5F"/>
    <w:rsid w:val="0027398B"/>
    <w:rsid w:val="00274190"/>
    <w:rsid w:val="00274F53"/>
    <w:rsid w:val="00280924"/>
    <w:rsid w:val="00285A65"/>
    <w:rsid w:val="00285AB9"/>
    <w:rsid w:val="0028630B"/>
    <w:rsid w:val="002866FD"/>
    <w:rsid w:val="00286B4D"/>
    <w:rsid w:val="0029529C"/>
    <w:rsid w:val="0029763B"/>
    <w:rsid w:val="002A6D31"/>
    <w:rsid w:val="002B26B3"/>
    <w:rsid w:val="002B280D"/>
    <w:rsid w:val="002E1423"/>
    <w:rsid w:val="002F174C"/>
    <w:rsid w:val="002F175C"/>
    <w:rsid w:val="002F40F8"/>
    <w:rsid w:val="0030668C"/>
    <w:rsid w:val="00310692"/>
    <w:rsid w:val="00311B73"/>
    <w:rsid w:val="00311E44"/>
    <w:rsid w:val="00312A20"/>
    <w:rsid w:val="00321881"/>
    <w:rsid w:val="00322605"/>
    <w:rsid w:val="003229D8"/>
    <w:rsid w:val="00337AA0"/>
    <w:rsid w:val="0034246C"/>
    <w:rsid w:val="00343DDE"/>
    <w:rsid w:val="00345F58"/>
    <w:rsid w:val="00352709"/>
    <w:rsid w:val="003630E4"/>
    <w:rsid w:val="00367567"/>
    <w:rsid w:val="00371178"/>
    <w:rsid w:val="00376715"/>
    <w:rsid w:val="003808F5"/>
    <w:rsid w:val="00381250"/>
    <w:rsid w:val="0038336C"/>
    <w:rsid w:val="00391EEC"/>
    <w:rsid w:val="003949BE"/>
    <w:rsid w:val="003A6810"/>
    <w:rsid w:val="003A739B"/>
    <w:rsid w:val="003B0D53"/>
    <w:rsid w:val="003B1892"/>
    <w:rsid w:val="003B43D3"/>
    <w:rsid w:val="003C2CC4"/>
    <w:rsid w:val="003C66B5"/>
    <w:rsid w:val="003C6F61"/>
    <w:rsid w:val="003D079D"/>
    <w:rsid w:val="003D1DBE"/>
    <w:rsid w:val="003D4B23"/>
    <w:rsid w:val="003E1362"/>
    <w:rsid w:val="003E5822"/>
    <w:rsid w:val="003E5B53"/>
    <w:rsid w:val="003E5BD0"/>
    <w:rsid w:val="003E7BF8"/>
    <w:rsid w:val="003F0A20"/>
    <w:rsid w:val="003F3CFA"/>
    <w:rsid w:val="003F3E59"/>
    <w:rsid w:val="003F6BDC"/>
    <w:rsid w:val="00400C23"/>
    <w:rsid w:val="004030BE"/>
    <w:rsid w:val="00410C89"/>
    <w:rsid w:val="00411269"/>
    <w:rsid w:val="00420286"/>
    <w:rsid w:val="00420C81"/>
    <w:rsid w:val="004219FE"/>
    <w:rsid w:val="00424C4E"/>
    <w:rsid w:val="004265B5"/>
    <w:rsid w:val="00426B9B"/>
    <w:rsid w:val="00426C31"/>
    <w:rsid w:val="00430891"/>
    <w:rsid w:val="00430A4B"/>
    <w:rsid w:val="004320CB"/>
    <w:rsid w:val="004325CB"/>
    <w:rsid w:val="00436B33"/>
    <w:rsid w:val="004417C9"/>
    <w:rsid w:val="00442A83"/>
    <w:rsid w:val="0044529D"/>
    <w:rsid w:val="0045495B"/>
    <w:rsid w:val="0046211D"/>
    <w:rsid w:val="004637B4"/>
    <w:rsid w:val="00470186"/>
    <w:rsid w:val="004737A3"/>
    <w:rsid w:val="00476634"/>
    <w:rsid w:val="00481154"/>
    <w:rsid w:val="00486FA2"/>
    <w:rsid w:val="00487488"/>
    <w:rsid w:val="00490701"/>
    <w:rsid w:val="0049721E"/>
    <w:rsid w:val="004A1199"/>
    <w:rsid w:val="004A2AEA"/>
    <w:rsid w:val="004A3449"/>
    <w:rsid w:val="004A7FBE"/>
    <w:rsid w:val="004B221B"/>
    <w:rsid w:val="004B51A4"/>
    <w:rsid w:val="004B57CB"/>
    <w:rsid w:val="004D26C0"/>
    <w:rsid w:val="004E34B8"/>
    <w:rsid w:val="004E54DC"/>
    <w:rsid w:val="004E59C5"/>
    <w:rsid w:val="004E690E"/>
    <w:rsid w:val="004E6F10"/>
    <w:rsid w:val="004E70AE"/>
    <w:rsid w:val="004F6CFB"/>
    <w:rsid w:val="005051B8"/>
    <w:rsid w:val="00505B74"/>
    <w:rsid w:val="00507A5D"/>
    <w:rsid w:val="00514539"/>
    <w:rsid w:val="0051581E"/>
    <w:rsid w:val="00517E20"/>
    <w:rsid w:val="0052136D"/>
    <w:rsid w:val="005219EE"/>
    <w:rsid w:val="00521C70"/>
    <w:rsid w:val="005258D2"/>
    <w:rsid w:val="0052775E"/>
    <w:rsid w:val="005332CA"/>
    <w:rsid w:val="005420F2"/>
    <w:rsid w:val="005421B3"/>
    <w:rsid w:val="00545B47"/>
    <w:rsid w:val="00557B08"/>
    <w:rsid w:val="005628B6"/>
    <w:rsid w:val="00563D66"/>
    <w:rsid w:val="00565EB7"/>
    <w:rsid w:val="00574AE0"/>
    <w:rsid w:val="00575C12"/>
    <w:rsid w:val="00582F0C"/>
    <w:rsid w:val="00583A56"/>
    <w:rsid w:val="00584604"/>
    <w:rsid w:val="005848B3"/>
    <w:rsid w:val="00590F87"/>
    <w:rsid w:val="00592C4A"/>
    <w:rsid w:val="005B1017"/>
    <w:rsid w:val="005B3DB3"/>
    <w:rsid w:val="005E027B"/>
    <w:rsid w:val="005E055F"/>
    <w:rsid w:val="005E33A2"/>
    <w:rsid w:val="005E4F04"/>
    <w:rsid w:val="005F7717"/>
    <w:rsid w:val="005F7B75"/>
    <w:rsid w:val="006001EE"/>
    <w:rsid w:val="006018AE"/>
    <w:rsid w:val="006047AA"/>
    <w:rsid w:val="00605042"/>
    <w:rsid w:val="00607CB3"/>
    <w:rsid w:val="00611FC4"/>
    <w:rsid w:val="0061213E"/>
    <w:rsid w:val="00616298"/>
    <w:rsid w:val="0061684D"/>
    <w:rsid w:val="006176FB"/>
    <w:rsid w:val="00623231"/>
    <w:rsid w:val="0063671F"/>
    <w:rsid w:val="006405EB"/>
    <w:rsid w:val="00640A59"/>
    <w:rsid w:val="00640B26"/>
    <w:rsid w:val="0064130E"/>
    <w:rsid w:val="00642CA2"/>
    <w:rsid w:val="00652D0A"/>
    <w:rsid w:val="006530C7"/>
    <w:rsid w:val="00660065"/>
    <w:rsid w:val="00662022"/>
    <w:rsid w:val="00662BB6"/>
    <w:rsid w:val="00670325"/>
    <w:rsid w:val="00677D26"/>
    <w:rsid w:val="00680CFD"/>
    <w:rsid w:val="00683212"/>
    <w:rsid w:val="00684A94"/>
    <w:rsid w:val="00684C21"/>
    <w:rsid w:val="00690D15"/>
    <w:rsid w:val="006A0C2B"/>
    <w:rsid w:val="006A15F6"/>
    <w:rsid w:val="006A3CCB"/>
    <w:rsid w:val="006A6EA3"/>
    <w:rsid w:val="006B0408"/>
    <w:rsid w:val="006B0F59"/>
    <w:rsid w:val="006B1481"/>
    <w:rsid w:val="006B1A52"/>
    <w:rsid w:val="006C0C2B"/>
    <w:rsid w:val="006C1036"/>
    <w:rsid w:val="006C35CE"/>
    <w:rsid w:val="006C5FFD"/>
    <w:rsid w:val="006D1279"/>
    <w:rsid w:val="006D289A"/>
    <w:rsid w:val="006D37AF"/>
    <w:rsid w:val="006D51D0"/>
    <w:rsid w:val="006E3B7E"/>
    <w:rsid w:val="006E564B"/>
    <w:rsid w:val="006E7191"/>
    <w:rsid w:val="006F3577"/>
    <w:rsid w:val="006F368C"/>
    <w:rsid w:val="006F4FFB"/>
    <w:rsid w:val="006F66EC"/>
    <w:rsid w:val="00703577"/>
    <w:rsid w:val="00703D1C"/>
    <w:rsid w:val="00704001"/>
    <w:rsid w:val="0070695A"/>
    <w:rsid w:val="00710027"/>
    <w:rsid w:val="00710B3D"/>
    <w:rsid w:val="00711F14"/>
    <w:rsid w:val="007154EF"/>
    <w:rsid w:val="00722F2B"/>
    <w:rsid w:val="0072632A"/>
    <w:rsid w:val="00726590"/>
    <w:rsid w:val="007327D5"/>
    <w:rsid w:val="00733832"/>
    <w:rsid w:val="00735267"/>
    <w:rsid w:val="00737EC9"/>
    <w:rsid w:val="00743675"/>
    <w:rsid w:val="00753816"/>
    <w:rsid w:val="0075751C"/>
    <w:rsid w:val="0076185B"/>
    <w:rsid w:val="007629C8"/>
    <w:rsid w:val="007774C2"/>
    <w:rsid w:val="0078164A"/>
    <w:rsid w:val="00781B49"/>
    <w:rsid w:val="007916E9"/>
    <w:rsid w:val="0079424C"/>
    <w:rsid w:val="00795FEC"/>
    <w:rsid w:val="00797BEE"/>
    <w:rsid w:val="007A5001"/>
    <w:rsid w:val="007B3C58"/>
    <w:rsid w:val="007B6BA5"/>
    <w:rsid w:val="007B7DAD"/>
    <w:rsid w:val="007C19BF"/>
    <w:rsid w:val="007C3390"/>
    <w:rsid w:val="007C4F4B"/>
    <w:rsid w:val="007C6596"/>
    <w:rsid w:val="007C784F"/>
    <w:rsid w:val="007C7A2A"/>
    <w:rsid w:val="007D2F89"/>
    <w:rsid w:val="007D3E98"/>
    <w:rsid w:val="007E0B2D"/>
    <w:rsid w:val="007E32D5"/>
    <w:rsid w:val="007E48B0"/>
    <w:rsid w:val="007E49D1"/>
    <w:rsid w:val="007F0A46"/>
    <w:rsid w:val="007F13D6"/>
    <w:rsid w:val="007F640D"/>
    <w:rsid w:val="007F6611"/>
    <w:rsid w:val="0080593A"/>
    <w:rsid w:val="008105B8"/>
    <w:rsid w:val="00810FA3"/>
    <w:rsid w:val="008242D7"/>
    <w:rsid w:val="00824AD9"/>
    <w:rsid w:val="008257B1"/>
    <w:rsid w:val="008339D7"/>
    <w:rsid w:val="008405D0"/>
    <w:rsid w:val="00843767"/>
    <w:rsid w:val="00846908"/>
    <w:rsid w:val="0085209F"/>
    <w:rsid w:val="00853996"/>
    <w:rsid w:val="0085432A"/>
    <w:rsid w:val="00861200"/>
    <w:rsid w:val="008679D9"/>
    <w:rsid w:val="008851DA"/>
    <w:rsid w:val="00897879"/>
    <w:rsid w:val="008979B1"/>
    <w:rsid w:val="008A1DB2"/>
    <w:rsid w:val="008A285A"/>
    <w:rsid w:val="008A5CDB"/>
    <w:rsid w:val="008A6B25"/>
    <w:rsid w:val="008A6C4F"/>
    <w:rsid w:val="008B120C"/>
    <w:rsid w:val="008B2335"/>
    <w:rsid w:val="008C1EB1"/>
    <w:rsid w:val="008D1D83"/>
    <w:rsid w:val="008D23CC"/>
    <w:rsid w:val="008E0678"/>
    <w:rsid w:val="008E1994"/>
    <w:rsid w:val="008F280E"/>
    <w:rsid w:val="009000B1"/>
    <w:rsid w:val="009042F0"/>
    <w:rsid w:val="00910F40"/>
    <w:rsid w:val="0091158A"/>
    <w:rsid w:val="00911E05"/>
    <w:rsid w:val="00912C08"/>
    <w:rsid w:val="00917EA7"/>
    <w:rsid w:val="009223CA"/>
    <w:rsid w:val="00937927"/>
    <w:rsid w:val="00940F93"/>
    <w:rsid w:val="00950E5E"/>
    <w:rsid w:val="0095347F"/>
    <w:rsid w:val="00956DFC"/>
    <w:rsid w:val="00961150"/>
    <w:rsid w:val="00970E49"/>
    <w:rsid w:val="00971352"/>
    <w:rsid w:val="00972BB0"/>
    <w:rsid w:val="009760F3"/>
    <w:rsid w:val="009801D0"/>
    <w:rsid w:val="00980422"/>
    <w:rsid w:val="00980B47"/>
    <w:rsid w:val="009909F5"/>
    <w:rsid w:val="00997359"/>
    <w:rsid w:val="009A0E8D"/>
    <w:rsid w:val="009A3468"/>
    <w:rsid w:val="009A4129"/>
    <w:rsid w:val="009B1514"/>
    <w:rsid w:val="009B26E7"/>
    <w:rsid w:val="009B578C"/>
    <w:rsid w:val="009B6161"/>
    <w:rsid w:val="009C2E91"/>
    <w:rsid w:val="009C6A86"/>
    <w:rsid w:val="009C7929"/>
    <w:rsid w:val="009E55A5"/>
    <w:rsid w:val="009F23FF"/>
    <w:rsid w:val="009F3129"/>
    <w:rsid w:val="009F35FD"/>
    <w:rsid w:val="009F7B77"/>
    <w:rsid w:val="009F7C04"/>
    <w:rsid w:val="00A00A3F"/>
    <w:rsid w:val="00A01489"/>
    <w:rsid w:val="00A02548"/>
    <w:rsid w:val="00A02A0C"/>
    <w:rsid w:val="00A02BA0"/>
    <w:rsid w:val="00A033B6"/>
    <w:rsid w:val="00A145E1"/>
    <w:rsid w:val="00A25A6B"/>
    <w:rsid w:val="00A25E5A"/>
    <w:rsid w:val="00A302B8"/>
    <w:rsid w:val="00A338F1"/>
    <w:rsid w:val="00A37080"/>
    <w:rsid w:val="00A41057"/>
    <w:rsid w:val="00A44615"/>
    <w:rsid w:val="00A45246"/>
    <w:rsid w:val="00A5395B"/>
    <w:rsid w:val="00A63DE1"/>
    <w:rsid w:val="00A669DE"/>
    <w:rsid w:val="00A72F22"/>
    <w:rsid w:val="00A7360F"/>
    <w:rsid w:val="00A748A6"/>
    <w:rsid w:val="00A75ABA"/>
    <w:rsid w:val="00A769F4"/>
    <w:rsid w:val="00A776B4"/>
    <w:rsid w:val="00A80219"/>
    <w:rsid w:val="00A8260A"/>
    <w:rsid w:val="00A840C4"/>
    <w:rsid w:val="00A91690"/>
    <w:rsid w:val="00A94361"/>
    <w:rsid w:val="00AA020F"/>
    <w:rsid w:val="00AA293C"/>
    <w:rsid w:val="00AC309B"/>
    <w:rsid w:val="00AD0079"/>
    <w:rsid w:val="00AD07A4"/>
    <w:rsid w:val="00AD3100"/>
    <w:rsid w:val="00AD77D8"/>
    <w:rsid w:val="00AE3659"/>
    <w:rsid w:val="00AE42BD"/>
    <w:rsid w:val="00AE7D44"/>
    <w:rsid w:val="00AF37A2"/>
    <w:rsid w:val="00B00C3C"/>
    <w:rsid w:val="00B03523"/>
    <w:rsid w:val="00B069CE"/>
    <w:rsid w:val="00B06B64"/>
    <w:rsid w:val="00B10A0F"/>
    <w:rsid w:val="00B13E9B"/>
    <w:rsid w:val="00B21C6B"/>
    <w:rsid w:val="00B247E0"/>
    <w:rsid w:val="00B30179"/>
    <w:rsid w:val="00B3299D"/>
    <w:rsid w:val="00B339A7"/>
    <w:rsid w:val="00B3711D"/>
    <w:rsid w:val="00B41383"/>
    <w:rsid w:val="00B43B01"/>
    <w:rsid w:val="00B460BF"/>
    <w:rsid w:val="00B53627"/>
    <w:rsid w:val="00B56E4A"/>
    <w:rsid w:val="00B56E9C"/>
    <w:rsid w:val="00B607C0"/>
    <w:rsid w:val="00B61BA2"/>
    <w:rsid w:val="00B61C9E"/>
    <w:rsid w:val="00B64B1F"/>
    <w:rsid w:val="00B6553F"/>
    <w:rsid w:val="00B66E5E"/>
    <w:rsid w:val="00B73345"/>
    <w:rsid w:val="00B746C7"/>
    <w:rsid w:val="00B77D05"/>
    <w:rsid w:val="00B81206"/>
    <w:rsid w:val="00B81E12"/>
    <w:rsid w:val="00B824EA"/>
    <w:rsid w:val="00B9067B"/>
    <w:rsid w:val="00B918E1"/>
    <w:rsid w:val="00B9226A"/>
    <w:rsid w:val="00B94B1C"/>
    <w:rsid w:val="00B95864"/>
    <w:rsid w:val="00BA107D"/>
    <w:rsid w:val="00BA1E22"/>
    <w:rsid w:val="00BA52A1"/>
    <w:rsid w:val="00BA54FD"/>
    <w:rsid w:val="00BB6565"/>
    <w:rsid w:val="00BC2C23"/>
    <w:rsid w:val="00BC74E9"/>
    <w:rsid w:val="00BD5229"/>
    <w:rsid w:val="00BE2DEA"/>
    <w:rsid w:val="00BE4463"/>
    <w:rsid w:val="00BE6CFC"/>
    <w:rsid w:val="00BF163F"/>
    <w:rsid w:val="00BF68A8"/>
    <w:rsid w:val="00C01072"/>
    <w:rsid w:val="00C018EB"/>
    <w:rsid w:val="00C066C5"/>
    <w:rsid w:val="00C1184A"/>
    <w:rsid w:val="00C11A03"/>
    <w:rsid w:val="00C24558"/>
    <w:rsid w:val="00C24BE5"/>
    <w:rsid w:val="00C30362"/>
    <w:rsid w:val="00C3190B"/>
    <w:rsid w:val="00C342C2"/>
    <w:rsid w:val="00C36CDF"/>
    <w:rsid w:val="00C37616"/>
    <w:rsid w:val="00C4122B"/>
    <w:rsid w:val="00C418F1"/>
    <w:rsid w:val="00C463DD"/>
    <w:rsid w:val="00C4724C"/>
    <w:rsid w:val="00C53522"/>
    <w:rsid w:val="00C56C9A"/>
    <w:rsid w:val="00C60924"/>
    <w:rsid w:val="00C60D0E"/>
    <w:rsid w:val="00C61383"/>
    <w:rsid w:val="00C61726"/>
    <w:rsid w:val="00C629A0"/>
    <w:rsid w:val="00C657CA"/>
    <w:rsid w:val="00C65ED3"/>
    <w:rsid w:val="00C745C3"/>
    <w:rsid w:val="00C74B8A"/>
    <w:rsid w:val="00C74CCF"/>
    <w:rsid w:val="00C84C0D"/>
    <w:rsid w:val="00C85272"/>
    <w:rsid w:val="00C908C3"/>
    <w:rsid w:val="00C9106C"/>
    <w:rsid w:val="00C95E0F"/>
    <w:rsid w:val="00CA0084"/>
    <w:rsid w:val="00CA46F2"/>
    <w:rsid w:val="00CA4B00"/>
    <w:rsid w:val="00CA4C29"/>
    <w:rsid w:val="00CB4167"/>
    <w:rsid w:val="00CB6CF1"/>
    <w:rsid w:val="00CC4E95"/>
    <w:rsid w:val="00CC50D6"/>
    <w:rsid w:val="00CC5B72"/>
    <w:rsid w:val="00CD3F3A"/>
    <w:rsid w:val="00CE4A8F"/>
    <w:rsid w:val="00CE5488"/>
    <w:rsid w:val="00CF01D3"/>
    <w:rsid w:val="00CF06B4"/>
    <w:rsid w:val="00CF09A5"/>
    <w:rsid w:val="00CF4586"/>
    <w:rsid w:val="00CF6F68"/>
    <w:rsid w:val="00CF7BF7"/>
    <w:rsid w:val="00D0342E"/>
    <w:rsid w:val="00D03535"/>
    <w:rsid w:val="00D04571"/>
    <w:rsid w:val="00D134AC"/>
    <w:rsid w:val="00D2031B"/>
    <w:rsid w:val="00D2344E"/>
    <w:rsid w:val="00D24F82"/>
    <w:rsid w:val="00D256A0"/>
    <w:rsid w:val="00D2586F"/>
    <w:rsid w:val="00D25FE2"/>
    <w:rsid w:val="00D2710E"/>
    <w:rsid w:val="00D376FE"/>
    <w:rsid w:val="00D43252"/>
    <w:rsid w:val="00D43802"/>
    <w:rsid w:val="00D44160"/>
    <w:rsid w:val="00D4552D"/>
    <w:rsid w:val="00D458AA"/>
    <w:rsid w:val="00D47EEA"/>
    <w:rsid w:val="00D511E4"/>
    <w:rsid w:val="00D64F14"/>
    <w:rsid w:val="00D65D92"/>
    <w:rsid w:val="00D7761D"/>
    <w:rsid w:val="00D807C2"/>
    <w:rsid w:val="00D87D97"/>
    <w:rsid w:val="00D935FA"/>
    <w:rsid w:val="00D95303"/>
    <w:rsid w:val="00D978C6"/>
    <w:rsid w:val="00DA3111"/>
    <w:rsid w:val="00DA3C1C"/>
    <w:rsid w:val="00DA454C"/>
    <w:rsid w:val="00DA4F73"/>
    <w:rsid w:val="00DA5CF0"/>
    <w:rsid w:val="00DB0C79"/>
    <w:rsid w:val="00DC3578"/>
    <w:rsid w:val="00DD4693"/>
    <w:rsid w:val="00DE5AEC"/>
    <w:rsid w:val="00DF57CA"/>
    <w:rsid w:val="00E0076B"/>
    <w:rsid w:val="00E03BF9"/>
    <w:rsid w:val="00E0616C"/>
    <w:rsid w:val="00E1360C"/>
    <w:rsid w:val="00E14599"/>
    <w:rsid w:val="00E20C50"/>
    <w:rsid w:val="00E27346"/>
    <w:rsid w:val="00E3008C"/>
    <w:rsid w:val="00E3081F"/>
    <w:rsid w:val="00E319E3"/>
    <w:rsid w:val="00E3620E"/>
    <w:rsid w:val="00E4032C"/>
    <w:rsid w:val="00E40CEE"/>
    <w:rsid w:val="00E45BAA"/>
    <w:rsid w:val="00E479EC"/>
    <w:rsid w:val="00E63798"/>
    <w:rsid w:val="00E71BC8"/>
    <w:rsid w:val="00E7260F"/>
    <w:rsid w:val="00E779FC"/>
    <w:rsid w:val="00E927BF"/>
    <w:rsid w:val="00E95E72"/>
    <w:rsid w:val="00E96630"/>
    <w:rsid w:val="00E966F0"/>
    <w:rsid w:val="00E97808"/>
    <w:rsid w:val="00EA6B2A"/>
    <w:rsid w:val="00EA708C"/>
    <w:rsid w:val="00EA774F"/>
    <w:rsid w:val="00EB2581"/>
    <w:rsid w:val="00EB5478"/>
    <w:rsid w:val="00EB5982"/>
    <w:rsid w:val="00EC7ACC"/>
    <w:rsid w:val="00ED567F"/>
    <w:rsid w:val="00ED7A2A"/>
    <w:rsid w:val="00EF1D7F"/>
    <w:rsid w:val="00EF48F0"/>
    <w:rsid w:val="00EF5F4B"/>
    <w:rsid w:val="00F04CF9"/>
    <w:rsid w:val="00F161C5"/>
    <w:rsid w:val="00F1712A"/>
    <w:rsid w:val="00F20C3D"/>
    <w:rsid w:val="00F27D66"/>
    <w:rsid w:val="00F27F28"/>
    <w:rsid w:val="00F35A1A"/>
    <w:rsid w:val="00F3609E"/>
    <w:rsid w:val="00F4172F"/>
    <w:rsid w:val="00F41FBB"/>
    <w:rsid w:val="00F43E9E"/>
    <w:rsid w:val="00F52C1E"/>
    <w:rsid w:val="00F5433C"/>
    <w:rsid w:val="00F57A4A"/>
    <w:rsid w:val="00F6349E"/>
    <w:rsid w:val="00F658E6"/>
    <w:rsid w:val="00F66EA1"/>
    <w:rsid w:val="00F8240E"/>
    <w:rsid w:val="00F9057C"/>
    <w:rsid w:val="00F906D7"/>
    <w:rsid w:val="00F93781"/>
    <w:rsid w:val="00F94A44"/>
    <w:rsid w:val="00F960C6"/>
    <w:rsid w:val="00FB2BC4"/>
    <w:rsid w:val="00FB613B"/>
    <w:rsid w:val="00FC02B4"/>
    <w:rsid w:val="00FC236E"/>
    <w:rsid w:val="00FC533F"/>
    <w:rsid w:val="00FC68B7"/>
    <w:rsid w:val="00FC79D2"/>
    <w:rsid w:val="00FD03ED"/>
    <w:rsid w:val="00FD1186"/>
    <w:rsid w:val="00FD247C"/>
    <w:rsid w:val="00FD399F"/>
    <w:rsid w:val="00FD57F4"/>
    <w:rsid w:val="00FE106A"/>
    <w:rsid w:val="00FE2B9A"/>
    <w:rsid w:val="00FE7F70"/>
    <w:rsid w:val="00FF0828"/>
    <w:rsid w:val="00FF2614"/>
    <w:rsid w:val="00FF506D"/>
    <w:rsid w:val="00FF7D0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1F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CC50D6"/>
    <w:rPr>
      <w:sz w:val="18"/>
      <w:szCs w:val="18"/>
    </w:rPr>
  </w:style>
  <w:style w:type="paragraph" w:styleId="ListParagraph">
    <w:name w:val="List Paragraph"/>
    <w:basedOn w:val="Normal"/>
    <w:uiPriority w:val="34"/>
    <w:qFormat/>
    <w:rsid w:val="00CC50D6"/>
    <w:pPr>
      <w:suppressAutoHyphens w:val="0"/>
      <w:spacing w:line="240" w:lineRule="auto"/>
      <w:ind w:left="720"/>
      <w:contextualSpacing/>
    </w:pPr>
    <w:rPr>
      <w:color w:val="000000"/>
      <w:lang w:val="en-US"/>
    </w:rPr>
  </w:style>
  <w:style w:type="paragraph" w:styleId="BalloonText">
    <w:name w:val="Balloon Text"/>
    <w:basedOn w:val="Normal"/>
    <w:link w:val="BalloonTextChar"/>
    <w:rsid w:val="003C6F61"/>
    <w:pPr>
      <w:spacing w:line="240" w:lineRule="auto"/>
    </w:pPr>
    <w:rPr>
      <w:rFonts w:ascii="Tahoma" w:hAnsi="Tahoma" w:cs="Tahoma"/>
      <w:sz w:val="16"/>
      <w:szCs w:val="16"/>
    </w:rPr>
  </w:style>
  <w:style w:type="character" w:customStyle="1" w:styleId="BalloonTextChar">
    <w:name w:val="Balloon Text Char"/>
    <w:link w:val="BalloonText"/>
    <w:rsid w:val="003C6F61"/>
    <w:rPr>
      <w:rFonts w:ascii="Tahoma" w:hAnsi="Tahoma" w:cs="Tahoma"/>
      <w:sz w:val="16"/>
      <w:szCs w:val="16"/>
      <w:lang w:eastAsia="en-US"/>
    </w:rPr>
  </w:style>
  <w:style w:type="character" w:customStyle="1" w:styleId="SingleTxtGChar">
    <w:name w:val="_ Single Txt_G Char"/>
    <w:link w:val="SingleTxtG"/>
    <w:rsid w:val="00AC309B"/>
    <w:rPr>
      <w:lang w:eastAsia="en-US"/>
    </w:rPr>
  </w:style>
  <w:style w:type="paragraph" w:styleId="CommentText">
    <w:name w:val="annotation text"/>
    <w:basedOn w:val="Normal"/>
    <w:link w:val="CommentTextChar"/>
    <w:rsid w:val="00C60924"/>
    <w:pPr>
      <w:spacing w:line="240" w:lineRule="auto"/>
    </w:pPr>
  </w:style>
  <w:style w:type="character" w:customStyle="1" w:styleId="CommentTextChar">
    <w:name w:val="Comment Text Char"/>
    <w:basedOn w:val="DefaultParagraphFont"/>
    <w:link w:val="CommentText"/>
    <w:rsid w:val="00C60924"/>
    <w:rPr>
      <w:lang w:val="en-GB" w:eastAsia="en-US"/>
    </w:rPr>
  </w:style>
  <w:style w:type="paragraph" w:styleId="CommentSubject">
    <w:name w:val="annotation subject"/>
    <w:basedOn w:val="CommentText"/>
    <w:next w:val="CommentText"/>
    <w:link w:val="CommentSubjectChar"/>
    <w:rsid w:val="00C60924"/>
    <w:rPr>
      <w:b/>
      <w:bCs/>
    </w:rPr>
  </w:style>
  <w:style w:type="character" w:customStyle="1" w:styleId="CommentSubjectChar">
    <w:name w:val="Comment Subject Char"/>
    <w:basedOn w:val="CommentTextChar"/>
    <w:link w:val="CommentSubject"/>
    <w:rsid w:val="00C60924"/>
    <w:rPr>
      <w:b/>
      <w:bCs/>
      <w:lang w:val="en-GB" w:eastAsia="en-US"/>
    </w:r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fn Char"/>
    <w:link w:val="FootnoteText"/>
    <w:rsid w:val="009B1514"/>
    <w:rPr>
      <w:sz w:val="18"/>
      <w:lang w:val="en-GB"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9B1514"/>
    <w:pPr>
      <w:suppressAutoHyphens w:val="0"/>
      <w:spacing w:after="160" w:line="240" w:lineRule="exact"/>
    </w:pPr>
    <w:rPr>
      <w:sz w:val="18"/>
      <w:vertAlign w:val="superscript"/>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CC50D6"/>
    <w:rPr>
      <w:sz w:val="18"/>
      <w:szCs w:val="18"/>
    </w:rPr>
  </w:style>
  <w:style w:type="paragraph" w:styleId="ListParagraph">
    <w:name w:val="List Paragraph"/>
    <w:basedOn w:val="Normal"/>
    <w:uiPriority w:val="34"/>
    <w:qFormat/>
    <w:rsid w:val="00CC50D6"/>
    <w:pPr>
      <w:suppressAutoHyphens w:val="0"/>
      <w:spacing w:line="240" w:lineRule="auto"/>
      <w:ind w:left="720"/>
      <w:contextualSpacing/>
    </w:pPr>
    <w:rPr>
      <w:color w:val="000000"/>
      <w:lang w:val="en-US"/>
    </w:rPr>
  </w:style>
  <w:style w:type="paragraph" w:styleId="BalloonText">
    <w:name w:val="Balloon Text"/>
    <w:basedOn w:val="Normal"/>
    <w:link w:val="BalloonTextChar"/>
    <w:rsid w:val="003C6F61"/>
    <w:pPr>
      <w:spacing w:line="240" w:lineRule="auto"/>
    </w:pPr>
    <w:rPr>
      <w:rFonts w:ascii="Tahoma" w:hAnsi="Tahoma" w:cs="Tahoma"/>
      <w:sz w:val="16"/>
      <w:szCs w:val="16"/>
    </w:rPr>
  </w:style>
  <w:style w:type="character" w:customStyle="1" w:styleId="BalloonTextChar">
    <w:name w:val="Balloon Text Char"/>
    <w:link w:val="BalloonText"/>
    <w:rsid w:val="003C6F61"/>
    <w:rPr>
      <w:rFonts w:ascii="Tahoma" w:hAnsi="Tahoma" w:cs="Tahoma"/>
      <w:sz w:val="16"/>
      <w:szCs w:val="16"/>
      <w:lang w:eastAsia="en-US"/>
    </w:rPr>
  </w:style>
  <w:style w:type="character" w:customStyle="1" w:styleId="SingleTxtGChar">
    <w:name w:val="_ Single Txt_G Char"/>
    <w:link w:val="SingleTxtG"/>
    <w:rsid w:val="00AC309B"/>
    <w:rPr>
      <w:lang w:eastAsia="en-US"/>
    </w:rPr>
  </w:style>
  <w:style w:type="paragraph" w:styleId="CommentText">
    <w:name w:val="annotation text"/>
    <w:basedOn w:val="Normal"/>
    <w:link w:val="CommentTextChar"/>
    <w:rsid w:val="00C60924"/>
    <w:pPr>
      <w:spacing w:line="240" w:lineRule="auto"/>
    </w:pPr>
  </w:style>
  <w:style w:type="character" w:customStyle="1" w:styleId="CommentTextChar">
    <w:name w:val="Comment Text Char"/>
    <w:basedOn w:val="DefaultParagraphFont"/>
    <w:link w:val="CommentText"/>
    <w:rsid w:val="00C60924"/>
    <w:rPr>
      <w:lang w:val="en-GB" w:eastAsia="en-US"/>
    </w:rPr>
  </w:style>
  <w:style w:type="paragraph" w:styleId="CommentSubject">
    <w:name w:val="annotation subject"/>
    <w:basedOn w:val="CommentText"/>
    <w:next w:val="CommentText"/>
    <w:link w:val="CommentSubjectChar"/>
    <w:rsid w:val="00C60924"/>
    <w:rPr>
      <w:b/>
      <w:bCs/>
    </w:rPr>
  </w:style>
  <w:style w:type="character" w:customStyle="1" w:styleId="CommentSubjectChar">
    <w:name w:val="Comment Subject Char"/>
    <w:basedOn w:val="CommentTextChar"/>
    <w:link w:val="CommentSubject"/>
    <w:rsid w:val="00C60924"/>
    <w:rPr>
      <w:b/>
      <w:bCs/>
      <w:lang w:val="en-GB" w:eastAsia="en-US"/>
    </w:r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fn Char"/>
    <w:link w:val="FootnoteText"/>
    <w:rsid w:val="009B1514"/>
    <w:rPr>
      <w:sz w:val="18"/>
      <w:lang w:val="en-GB"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9B1514"/>
    <w:pPr>
      <w:suppressAutoHyphens w:val="0"/>
      <w:spacing w:after="160" w:line="240" w:lineRule="exact"/>
    </w:pPr>
    <w:rPr>
      <w:sz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16BDC-FFC9-4B5F-AF26-A049A02B8740}"/>
</file>

<file path=customXml/itemProps2.xml><?xml version="1.0" encoding="utf-8"?>
<ds:datastoreItem xmlns:ds="http://schemas.openxmlformats.org/officeDocument/2006/customXml" ds:itemID="{EDE9D409-4C6D-407F-A352-A372732CA3C7}"/>
</file>

<file path=customXml/itemProps3.xml><?xml version="1.0" encoding="utf-8"?>
<ds:datastoreItem xmlns:ds="http://schemas.openxmlformats.org/officeDocument/2006/customXml" ds:itemID="{7350717A-30C4-4096-B00D-5AC8609256B3}"/>
</file>

<file path=customXml/itemProps4.xml><?xml version="1.0" encoding="utf-8"?>
<ds:datastoreItem xmlns:ds="http://schemas.openxmlformats.org/officeDocument/2006/customXml" ds:itemID="{1CC60AED-E981-4D4D-ACD3-1F98AC1B71DF}"/>
</file>

<file path=docProps/app.xml><?xml version="1.0" encoding="utf-8"?>
<Properties xmlns="http://schemas.openxmlformats.org/officeDocument/2006/extended-properties" xmlns:vt="http://schemas.openxmlformats.org/officeDocument/2006/docPropsVTypes">
  <Template>CCPR_E</Template>
  <TotalTime>9</TotalTime>
  <Pages>9</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Thodiyil Sindu</cp:lastModifiedBy>
  <cp:revision>8</cp:revision>
  <cp:lastPrinted>2015-07-15T14:18:00Z</cp:lastPrinted>
  <dcterms:created xsi:type="dcterms:W3CDTF">2015-07-22T08:34:00Z</dcterms:created>
  <dcterms:modified xsi:type="dcterms:W3CDTF">2015-07-22T09:00:00Z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