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2D5AAC" w:rsidRPr="008E06E9" w:rsidTr="00E12E19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:rsidR="002D5AAC" w:rsidRPr="005044BC" w:rsidRDefault="002D5AAC" w:rsidP="005044BC">
            <w:pPr>
              <w:spacing w:line="20" w:lineRule="exact"/>
              <w:rPr>
                <w:rStyle w:val="FollowedHyperlink"/>
                <w:color w:val="auto"/>
                <w:sz w:val="2"/>
              </w:rPr>
            </w:pPr>
          </w:p>
          <w:p w:rsidR="005044BC" w:rsidRPr="007A0D9C" w:rsidRDefault="005044BC" w:rsidP="00A17DFD">
            <w:pPr>
              <w:rPr>
                <w:rStyle w:val="FollowedHyperlink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2D5AAC" w:rsidRPr="00BD33EE" w:rsidRDefault="002D5AAC" w:rsidP="00A17DFD">
            <w:pPr>
              <w:spacing w:after="80" w:line="300" w:lineRule="exact"/>
              <w:rPr>
                <w:sz w:val="28"/>
              </w:rPr>
            </w:pP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1E59E8" w:rsidRDefault="002D5AAC" w:rsidP="007B08A3">
            <w:pPr>
              <w:jc w:val="right"/>
              <w:rPr>
                <w:lang w:val="en-GB"/>
              </w:rPr>
            </w:pPr>
          </w:p>
        </w:tc>
      </w:tr>
      <w:tr w:rsidR="002D5AAC" w:rsidTr="00E12E19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D5AAC" w:rsidP="00A17DFD">
            <w:pPr>
              <w:spacing w:before="120"/>
              <w:jc w:val="center"/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7967DF" w:rsidRDefault="00994309" w:rsidP="007967DF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VERSION AVANZADA NO EDITADA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1E59E8" w:rsidRDefault="001E59E8" w:rsidP="007B2C96">
            <w:pPr>
              <w:spacing w:line="240" w:lineRule="exact"/>
            </w:pPr>
          </w:p>
        </w:tc>
      </w:tr>
    </w:tbl>
    <w:p w:rsidR="00E12E19" w:rsidRDefault="00E12E19" w:rsidP="00E12E19">
      <w:pPr>
        <w:spacing w:before="120"/>
        <w:rPr>
          <w:b/>
          <w:sz w:val="24"/>
          <w:szCs w:val="24"/>
        </w:rPr>
      </w:pPr>
      <w:r w:rsidRPr="00E12E19">
        <w:rPr>
          <w:b/>
          <w:sz w:val="24"/>
          <w:szCs w:val="24"/>
        </w:rPr>
        <w:t>Comité de Derechos Humanos</w:t>
      </w:r>
    </w:p>
    <w:p w:rsidR="00E12E19" w:rsidRDefault="00E12E19" w:rsidP="00E12E19">
      <w:pPr>
        <w:pStyle w:val="HChG"/>
      </w:pPr>
      <w:r>
        <w:tab/>
      </w:r>
      <w:r>
        <w:tab/>
        <w:t xml:space="preserve">Observaciones finales sobre el </w:t>
      </w:r>
      <w:r w:rsidR="001E59E8">
        <w:t>cuarto</w:t>
      </w:r>
      <w:r>
        <w:t xml:space="preserve"> informe periódico</w:t>
      </w:r>
      <w:r w:rsidR="001E59E8">
        <w:t xml:space="preserve"> </w:t>
      </w:r>
      <w:r>
        <w:t>de</w:t>
      </w:r>
      <w:r w:rsidR="001E59E8">
        <w:t xml:space="preserve"> la República Bolivariana de Venezuela</w:t>
      </w:r>
      <w:r w:rsidR="00C44174">
        <w:rPr>
          <w:rStyle w:val="FootnoteReference"/>
        </w:rPr>
        <w:footnoteReference w:customMarkFollows="1" w:id="1"/>
        <w:t>*</w:t>
      </w:r>
    </w:p>
    <w:p w:rsidR="00E12E19" w:rsidRDefault="00001A96" w:rsidP="00001A96">
      <w:pPr>
        <w:pStyle w:val="SingleTxtG"/>
      </w:pPr>
      <w:r>
        <w:t>1.</w:t>
      </w:r>
      <w:r>
        <w:tab/>
      </w:r>
      <w:r w:rsidR="00E12E19">
        <w:t xml:space="preserve">El Comité de Derechos Humanos examinó el </w:t>
      </w:r>
      <w:r w:rsidR="001E59E8">
        <w:t>cuarto</w:t>
      </w:r>
      <w:r w:rsidR="00E12E19">
        <w:t xml:space="preserve"> informe periódico presentado por </w:t>
      </w:r>
      <w:r w:rsidR="00F33F10">
        <w:t>la República Bolivariana de Venezuela</w:t>
      </w:r>
      <w:r w:rsidR="00E12E19">
        <w:t xml:space="preserve"> (CCPR/C/</w:t>
      </w:r>
      <w:r w:rsidR="00F33F10">
        <w:t>VEN</w:t>
      </w:r>
      <w:r w:rsidR="00E12E19">
        <w:t>/</w:t>
      </w:r>
      <w:r w:rsidR="00F33F10">
        <w:t>4</w:t>
      </w:r>
      <w:r w:rsidR="00E12E19">
        <w:t>) en sus sesiones 31</w:t>
      </w:r>
      <w:r w:rsidR="00EA4457">
        <w:t>64</w:t>
      </w:r>
      <w:r w:rsidR="00E12E19">
        <w:t>ª</w:t>
      </w:r>
      <w:r w:rsidR="005111FD">
        <w:t>,</w:t>
      </w:r>
      <w:r w:rsidR="00E12E19">
        <w:t xml:space="preserve"> 31</w:t>
      </w:r>
      <w:r w:rsidR="00EA4457">
        <w:t>65</w:t>
      </w:r>
      <w:r w:rsidR="00E12E19">
        <w:t xml:space="preserve">ª </w:t>
      </w:r>
      <w:r w:rsidR="005111FD">
        <w:t xml:space="preserve">y </w:t>
      </w:r>
      <w:r w:rsidR="005111FD" w:rsidRPr="005111FD">
        <w:t>316</w:t>
      </w:r>
      <w:r w:rsidR="005111FD">
        <w:t>6</w:t>
      </w:r>
      <w:r w:rsidR="005111FD" w:rsidRPr="005111FD">
        <w:t xml:space="preserve">ª </w:t>
      </w:r>
      <w:r w:rsidR="00E12E19">
        <w:t>(CCPR/C/SR.31</w:t>
      </w:r>
      <w:r w:rsidR="00EA4457">
        <w:t>64</w:t>
      </w:r>
      <w:r w:rsidR="005111FD">
        <w:t xml:space="preserve">, </w:t>
      </w:r>
      <w:r w:rsidR="00E12E19">
        <w:t>31</w:t>
      </w:r>
      <w:r w:rsidR="00EA4457">
        <w:t>65</w:t>
      </w:r>
      <w:r w:rsidR="005111FD">
        <w:t xml:space="preserve"> y 3166</w:t>
      </w:r>
      <w:r w:rsidR="00E12E19">
        <w:t xml:space="preserve">), celebradas los días </w:t>
      </w:r>
      <w:r w:rsidR="00EA4457">
        <w:t>29</w:t>
      </w:r>
      <w:r w:rsidR="00E12E19">
        <w:t xml:space="preserve"> y </w:t>
      </w:r>
      <w:r w:rsidR="00EA4457">
        <w:t>30</w:t>
      </w:r>
      <w:r w:rsidR="00E12E19">
        <w:t xml:space="preserve"> de </w:t>
      </w:r>
      <w:r w:rsidR="00EA4457">
        <w:t>junio</w:t>
      </w:r>
      <w:r w:rsidR="00E12E19">
        <w:t xml:space="preserve"> de 2015. En su</w:t>
      </w:r>
      <w:r w:rsidR="00234664">
        <w:t>s</w:t>
      </w:r>
      <w:r w:rsidR="00E12E19">
        <w:t xml:space="preserve"> </w:t>
      </w:r>
      <w:r w:rsidR="00234664">
        <w:t xml:space="preserve">sesiones </w:t>
      </w:r>
      <w:r w:rsidR="00E12E19">
        <w:t>31</w:t>
      </w:r>
      <w:r w:rsidR="00EA4457">
        <w:t>91</w:t>
      </w:r>
      <w:r w:rsidR="00E12E19">
        <w:t xml:space="preserve">ª </w:t>
      </w:r>
      <w:r w:rsidR="00234664">
        <w:t xml:space="preserve">y </w:t>
      </w:r>
      <w:r w:rsidR="00234664" w:rsidRPr="00234664">
        <w:t>319</w:t>
      </w:r>
      <w:r w:rsidR="00234664">
        <w:t>3</w:t>
      </w:r>
      <w:r w:rsidR="00234664" w:rsidRPr="00234664">
        <w:t xml:space="preserve">ª </w:t>
      </w:r>
      <w:r w:rsidR="00E12E19">
        <w:t>(</w:t>
      </w:r>
      <w:r w:rsidR="00E12E19" w:rsidRPr="00131861">
        <w:t>CCPR/C/SR.31</w:t>
      </w:r>
      <w:r w:rsidR="00EA4457" w:rsidRPr="00131861">
        <w:t>91</w:t>
      </w:r>
      <w:r w:rsidR="00234664">
        <w:t xml:space="preserve"> y 3193</w:t>
      </w:r>
      <w:r w:rsidR="00E12E19">
        <w:t>), celebrada</w:t>
      </w:r>
      <w:r w:rsidR="00234664">
        <w:t>s</w:t>
      </w:r>
      <w:r w:rsidR="00E12E19">
        <w:t xml:space="preserve"> </w:t>
      </w:r>
      <w:r w:rsidR="00234664">
        <w:t xml:space="preserve">los días </w:t>
      </w:r>
      <w:r w:rsidR="00EA4457">
        <w:t>20</w:t>
      </w:r>
      <w:r w:rsidR="00E12E19">
        <w:t xml:space="preserve"> </w:t>
      </w:r>
      <w:r w:rsidR="00234664">
        <w:t xml:space="preserve">y 21 </w:t>
      </w:r>
      <w:r w:rsidR="00E12E19">
        <w:t xml:space="preserve">de </w:t>
      </w:r>
      <w:r w:rsidR="00EA4457">
        <w:t>julio</w:t>
      </w:r>
      <w:r w:rsidR="00E12E19">
        <w:t xml:space="preserve"> de 2015, aprobó las observaciones finales que figuran a continuación.</w:t>
      </w:r>
    </w:p>
    <w:p w:rsidR="00E12E19" w:rsidRDefault="00E12E19" w:rsidP="00E12E19">
      <w:pPr>
        <w:pStyle w:val="H1G"/>
      </w:pPr>
      <w:r>
        <w:tab/>
      </w:r>
      <w:r>
        <w:tab/>
        <w:t>Introducción</w:t>
      </w:r>
    </w:p>
    <w:p w:rsidR="00E12E19" w:rsidRDefault="00001A96" w:rsidP="00001A96">
      <w:pPr>
        <w:pStyle w:val="SingleTxtG"/>
      </w:pPr>
      <w:r>
        <w:t>2.</w:t>
      </w:r>
      <w:r>
        <w:tab/>
      </w:r>
      <w:r w:rsidR="00E12E19">
        <w:t xml:space="preserve">El Comité acoge con satisfacción la presentación del </w:t>
      </w:r>
      <w:r w:rsidR="00D80F60">
        <w:t>cuarto</w:t>
      </w:r>
      <w:r w:rsidR="00E12E19">
        <w:t xml:space="preserve"> informe periódico de </w:t>
      </w:r>
      <w:r w:rsidR="00D80F60">
        <w:t>la República Bolivariana de Venezuela</w:t>
      </w:r>
      <w:r w:rsidR="00E12E19">
        <w:t xml:space="preserve">, </w:t>
      </w:r>
      <w:r w:rsidR="00B23903" w:rsidRPr="00D06861">
        <w:t>aunque</w:t>
      </w:r>
      <w:r w:rsidR="00E12E19" w:rsidRPr="00D06861">
        <w:t xml:space="preserve"> con </w:t>
      </w:r>
      <w:r w:rsidR="00D80F60" w:rsidRPr="00D06861">
        <w:t>siete años</w:t>
      </w:r>
      <w:r w:rsidR="00E12E19" w:rsidRPr="00D06861">
        <w:t xml:space="preserve"> de retraso</w:t>
      </w:r>
      <w:r w:rsidR="00E12E19">
        <w:t xml:space="preserve">, y la información </w:t>
      </w:r>
      <w:r w:rsidR="003103CE">
        <w:t>en él expuesta</w:t>
      </w:r>
      <w:r w:rsidR="00E12E19">
        <w:t xml:space="preserve">. Expresa su reconocimiento por la oportunidad de reanudar el diálogo constructivo con la delegación </w:t>
      </w:r>
      <w:r w:rsidR="00D80F60" w:rsidRPr="00A04092">
        <w:t>de alto nivel</w:t>
      </w:r>
      <w:r w:rsidR="00E12E19">
        <w:t xml:space="preserve"> del Estado parte sobre las medidas adoptad</w:t>
      </w:r>
      <w:r w:rsidR="00D80F60">
        <w:t>as</w:t>
      </w:r>
      <w:r w:rsidR="00E12E19">
        <w:t xml:space="preserve"> durante el período </w:t>
      </w:r>
      <w:r w:rsidR="00D80F60">
        <w:t>objeto d</w:t>
      </w:r>
      <w:r w:rsidR="00E12E19">
        <w:t xml:space="preserve">el informe para aplicar las disposiciones del Pacto. </w:t>
      </w:r>
      <w:r w:rsidR="003103CE">
        <w:t>Asimismo, el Comité expresa su agradecimiento al Estado parte por</w:t>
      </w:r>
      <w:r w:rsidR="00E12E19">
        <w:t xml:space="preserve"> las respuestas presentadas por escrito (CCPR/C/</w:t>
      </w:r>
      <w:r w:rsidR="00D80F60">
        <w:t>VEN</w:t>
      </w:r>
      <w:r w:rsidR="00E12E19">
        <w:t>/Q/</w:t>
      </w:r>
      <w:r w:rsidR="00D80F60">
        <w:t>4</w:t>
      </w:r>
      <w:r w:rsidR="00E12E19">
        <w:t>/Add.1) a la lista de cuestiones</w:t>
      </w:r>
      <w:r w:rsidR="003103CE">
        <w:t xml:space="preserve"> (CCPR/C/VEN/Q/4)</w:t>
      </w:r>
      <w:r w:rsidR="00E12E19">
        <w:t>, que se complementaron con las respuestas orales facilitadas por la delegación</w:t>
      </w:r>
      <w:r w:rsidR="003103CE">
        <w:t>,</w:t>
      </w:r>
      <w:r w:rsidR="003103CE" w:rsidRPr="003103CE">
        <w:rPr>
          <w:lang w:val="es-MX"/>
        </w:rPr>
        <w:t xml:space="preserve"> </w:t>
      </w:r>
      <w:r w:rsidR="003103CE" w:rsidRPr="007E4520">
        <w:rPr>
          <w:lang w:val="es-MX"/>
        </w:rPr>
        <w:t>y por la información complementaria que se le ha presentado por escrito</w:t>
      </w:r>
      <w:r w:rsidR="00E12E19">
        <w:t>.</w:t>
      </w:r>
    </w:p>
    <w:p w:rsidR="00E12E19" w:rsidRDefault="00E12E19" w:rsidP="00E12E19">
      <w:pPr>
        <w:pStyle w:val="H1G"/>
      </w:pPr>
      <w:r>
        <w:tab/>
      </w:r>
      <w:r>
        <w:tab/>
        <w:t>Aspectos positivos</w:t>
      </w:r>
    </w:p>
    <w:p w:rsidR="00E12E19" w:rsidRDefault="00001A96" w:rsidP="00001A96">
      <w:pPr>
        <w:pStyle w:val="SingleTxtG"/>
      </w:pPr>
      <w:r>
        <w:t>3.</w:t>
      </w:r>
      <w:r>
        <w:tab/>
      </w:r>
      <w:r w:rsidR="00E12E19">
        <w:t>El Comité acoge con satisfacción las siguientes medidas legislativas e institucionales adoptadas por el Estado parte:</w:t>
      </w:r>
    </w:p>
    <w:p w:rsidR="00E12E19" w:rsidRPr="00BD6AEF" w:rsidRDefault="00E12E19" w:rsidP="00E12E19">
      <w:pPr>
        <w:pStyle w:val="SingleTxtG"/>
      </w:pPr>
      <w:r>
        <w:tab/>
      </w:r>
      <w:r w:rsidRPr="00A84E97">
        <w:t>a)</w:t>
      </w:r>
      <w:r w:rsidRPr="00A84E97">
        <w:tab/>
      </w:r>
      <w:r w:rsidR="00703406">
        <w:t>Adopción de la</w:t>
      </w:r>
      <w:r w:rsidR="00E7728F">
        <w:t xml:space="preserve"> Ley Orgánica de Pueblos y Comunidades Indígenas, en diciembre de </w:t>
      </w:r>
      <w:r w:rsidR="00E7728F" w:rsidRPr="00BD6AEF">
        <w:t>2005</w:t>
      </w:r>
      <w:r w:rsidR="005627A8" w:rsidRPr="00BD6AEF">
        <w:t>, y creación del Ministerio del Poder Popular para los Pueblos Indígenas, en diciembre de 2006</w:t>
      </w:r>
      <w:r w:rsidR="00E7728F" w:rsidRPr="00BD6AEF">
        <w:t>;</w:t>
      </w:r>
    </w:p>
    <w:p w:rsidR="00E12E19" w:rsidRPr="00BD6AEF" w:rsidRDefault="00E12E19" w:rsidP="00E12E19">
      <w:pPr>
        <w:pStyle w:val="SingleTxtG"/>
      </w:pPr>
      <w:r w:rsidRPr="00BD6AEF">
        <w:tab/>
        <w:t>b)</w:t>
      </w:r>
      <w:r w:rsidRPr="00BD6AEF">
        <w:tab/>
      </w:r>
      <w:r w:rsidR="00703406" w:rsidRPr="00BD6AEF">
        <w:t>A</w:t>
      </w:r>
      <w:r w:rsidR="00A84E97" w:rsidRPr="00BD6AEF">
        <w:t xml:space="preserve">dopción de la Ley Orgánica sobre el </w:t>
      </w:r>
      <w:r w:rsidR="00E952E3" w:rsidRPr="00BD6AEF">
        <w:t>D</w:t>
      </w:r>
      <w:r w:rsidR="00A84E97" w:rsidRPr="00BD6AEF">
        <w:t xml:space="preserve">erecho de las </w:t>
      </w:r>
      <w:r w:rsidR="00E952E3" w:rsidRPr="00BD6AEF">
        <w:t>M</w:t>
      </w:r>
      <w:r w:rsidR="00A84E97" w:rsidRPr="00BD6AEF">
        <w:t xml:space="preserve">ujeres a una </w:t>
      </w:r>
      <w:r w:rsidR="00E952E3" w:rsidRPr="00BD6AEF">
        <w:t>V</w:t>
      </w:r>
      <w:r w:rsidR="00A84E97" w:rsidRPr="00BD6AEF">
        <w:t xml:space="preserve">ida </w:t>
      </w:r>
      <w:r w:rsidR="00E952E3" w:rsidRPr="00BD6AEF">
        <w:t>L</w:t>
      </w:r>
      <w:r w:rsidR="00A84E97" w:rsidRPr="00BD6AEF">
        <w:t xml:space="preserve">ibre de </w:t>
      </w:r>
      <w:r w:rsidR="00E952E3" w:rsidRPr="00BD6AEF">
        <w:t>V</w:t>
      </w:r>
      <w:r w:rsidR="00A84E97" w:rsidRPr="00BD6AEF">
        <w:t xml:space="preserve">iolencia, </w:t>
      </w:r>
      <w:r w:rsidRPr="00BD6AEF">
        <w:t xml:space="preserve">en </w:t>
      </w:r>
      <w:r w:rsidR="00A84E97" w:rsidRPr="00BD6AEF">
        <w:t>marzo</w:t>
      </w:r>
      <w:r w:rsidRPr="00BD6AEF">
        <w:t xml:space="preserve"> de 200</w:t>
      </w:r>
      <w:r w:rsidR="00A84E97" w:rsidRPr="00BD6AEF">
        <w:t>7</w:t>
      </w:r>
      <w:r w:rsidR="004F1EB4" w:rsidRPr="00BD6AEF">
        <w:t xml:space="preserve">, y su reforma parcial, en noviembre de 2014, que </w:t>
      </w:r>
      <w:r w:rsidR="004F1EB4" w:rsidRPr="00BD6AEF">
        <w:rPr>
          <w:i/>
        </w:rPr>
        <w:t xml:space="preserve">inter </w:t>
      </w:r>
      <w:proofErr w:type="spellStart"/>
      <w:r w:rsidR="004F1EB4" w:rsidRPr="00BD6AEF">
        <w:rPr>
          <w:i/>
        </w:rPr>
        <w:t>alia</w:t>
      </w:r>
      <w:proofErr w:type="spellEnd"/>
      <w:r w:rsidR="004F1EB4" w:rsidRPr="00BD6AEF">
        <w:t xml:space="preserve"> incorpora el delito de </w:t>
      </w:r>
      <w:proofErr w:type="spellStart"/>
      <w:r w:rsidR="004F1EB4" w:rsidRPr="00BD6AEF">
        <w:t>femicido</w:t>
      </w:r>
      <w:proofErr w:type="spellEnd"/>
      <w:r w:rsidRPr="00BD6AEF">
        <w:t>;</w:t>
      </w:r>
    </w:p>
    <w:p w:rsidR="00FC46A5" w:rsidRDefault="00FC46A5" w:rsidP="00E12E19">
      <w:pPr>
        <w:pStyle w:val="SingleTxtG"/>
      </w:pPr>
      <w:r w:rsidRPr="00BD6AEF">
        <w:tab/>
        <w:t>c)</w:t>
      </w:r>
      <w:r w:rsidRPr="00BD6AEF">
        <w:tab/>
      </w:r>
      <w:r w:rsidR="00703406" w:rsidRPr="00BD6AEF">
        <w:t>C</w:t>
      </w:r>
      <w:r w:rsidRPr="00BD6AEF">
        <w:t>reación del Ministerio Popular para la Mujer y la Igualdad de Género, en marzo de 2009;</w:t>
      </w:r>
    </w:p>
    <w:p w:rsidR="00E7728F" w:rsidRDefault="00E7728F" w:rsidP="00E12E19">
      <w:pPr>
        <w:pStyle w:val="SingleTxtG"/>
      </w:pPr>
      <w:r>
        <w:lastRenderedPageBreak/>
        <w:tab/>
      </w:r>
      <w:r w:rsidR="00FC46A5">
        <w:t>d</w:t>
      </w:r>
      <w:r>
        <w:t>)</w:t>
      </w:r>
      <w:r>
        <w:tab/>
      </w:r>
      <w:r w:rsidR="00703406">
        <w:t>A</w:t>
      </w:r>
      <w:r w:rsidRPr="00E7728F">
        <w:t>dopción de la Ley Orgánica contra la Discriminación Racial, en agosto de 2011;</w:t>
      </w:r>
    </w:p>
    <w:p w:rsidR="00A84E97" w:rsidRPr="00A84E97" w:rsidRDefault="00A84E97" w:rsidP="00E12E19">
      <w:pPr>
        <w:pStyle w:val="SingleTxtG"/>
      </w:pPr>
      <w:r>
        <w:tab/>
      </w:r>
      <w:r w:rsidR="00FC46A5">
        <w:t>e</w:t>
      </w:r>
      <w:r>
        <w:t>)</w:t>
      </w:r>
      <w:r>
        <w:tab/>
      </w:r>
      <w:r w:rsidR="00703406">
        <w:t>A</w:t>
      </w:r>
      <w:r>
        <w:t>dopci</w:t>
      </w:r>
      <w:r w:rsidR="00E952E3">
        <w:t>ón de la Ley para S</w:t>
      </w:r>
      <w:r>
        <w:t xml:space="preserve">ancionar los </w:t>
      </w:r>
      <w:r w:rsidR="00E952E3">
        <w:t>C</w:t>
      </w:r>
      <w:r>
        <w:t xml:space="preserve">rímenes, </w:t>
      </w:r>
      <w:r w:rsidR="00E952E3">
        <w:t>D</w:t>
      </w:r>
      <w:r>
        <w:t xml:space="preserve">esapariciones, </w:t>
      </w:r>
      <w:r w:rsidR="00E952E3">
        <w:t>T</w:t>
      </w:r>
      <w:r>
        <w:t xml:space="preserve">orturas y </w:t>
      </w:r>
      <w:r w:rsidR="00E952E3">
        <w:t>O</w:t>
      </w:r>
      <w:r>
        <w:t xml:space="preserve">tras </w:t>
      </w:r>
      <w:r w:rsidR="00E952E3">
        <w:t>V</w:t>
      </w:r>
      <w:r>
        <w:t xml:space="preserve">iolaciones a los </w:t>
      </w:r>
      <w:r w:rsidR="00E952E3">
        <w:t>D</w:t>
      </w:r>
      <w:r>
        <w:t xml:space="preserve">erechos </w:t>
      </w:r>
      <w:r w:rsidR="00E952E3">
        <w:t>H</w:t>
      </w:r>
      <w:r>
        <w:t xml:space="preserve">umanos por </w:t>
      </w:r>
      <w:r w:rsidR="00E952E3">
        <w:t>R</w:t>
      </w:r>
      <w:r>
        <w:t xml:space="preserve">azones </w:t>
      </w:r>
      <w:r w:rsidR="00E952E3">
        <w:t>P</w:t>
      </w:r>
      <w:r>
        <w:t xml:space="preserve">olíticas en el </w:t>
      </w:r>
      <w:r w:rsidR="00E952E3">
        <w:t>P</w:t>
      </w:r>
      <w:r>
        <w:t>eríodo 1958-1998, en noviembre de 2011;</w:t>
      </w:r>
    </w:p>
    <w:p w:rsidR="00E12E19" w:rsidRDefault="00E12E19" w:rsidP="00D97788">
      <w:pPr>
        <w:pStyle w:val="SingleTxtG"/>
      </w:pPr>
      <w:r w:rsidRPr="00A84E97">
        <w:tab/>
      </w:r>
      <w:r w:rsidR="00FC46A5">
        <w:t>f)</w:t>
      </w:r>
      <w:r w:rsidRPr="00A84E97">
        <w:tab/>
      </w:r>
      <w:r w:rsidR="00703406">
        <w:t>A</w:t>
      </w:r>
      <w:r w:rsidR="00A84E97" w:rsidRPr="00A84E97">
        <w:t xml:space="preserve">dopción de la Ley Especial para </w:t>
      </w:r>
      <w:r w:rsidR="00E952E3">
        <w:t>P</w:t>
      </w:r>
      <w:r w:rsidR="00A84E97" w:rsidRPr="00A84E97">
        <w:t xml:space="preserve">revenir y </w:t>
      </w:r>
      <w:r w:rsidR="00E952E3">
        <w:t>S</w:t>
      </w:r>
      <w:r w:rsidR="00A84E97" w:rsidRPr="00A84E97">
        <w:t xml:space="preserve">ancionar la </w:t>
      </w:r>
      <w:r w:rsidR="00E952E3">
        <w:t>T</w:t>
      </w:r>
      <w:r w:rsidR="00A84E97" w:rsidRPr="00A84E97">
        <w:t xml:space="preserve">ortura y </w:t>
      </w:r>
      <w:r w:rsidR="00E952E3">
        <w:t>O</w:t>
      </w:r>
      <w:r w:rsidR="00A84E97" w:rsidRPr="00A84E97">
        <w:t xml:space="preserve">tros </w:t>
      </w:r>
      <w:r w:rsidR="00E952E3">
        <w:t>T</w:t>
      </w:r>
      <w:r w:rsidR="00A84E97" w:rsidRPr="00A84E97">
        <w:t xml:space="preserve">ratos </w:t>
      </w:r>
      <w:r w:rsidR="00E952E3">
        <w:t>C</w:t>
      </w:r>
      <w:r w:rsidR="00A84E97" w:rsidRPr="00A84E97">
        <w:t xml:space="preserve">rueles, </w:t>
      </w:r>
      <w:r w:rsidR="00E952E3">
        <w:t>I</w:t>
      </w:r>
      <w:r w:rsidR="00A84E97" w:rsidRPr="00A84E97">
        <w:t xml:space="preserve">nhumanos o </w:t>
      </w:r>
      <w:r w:rsidR="00E952E3">
        <w:t>D</w:t>
      </w:r>
      <w:r w:rsidR="00A84E97" w:rsidRPr="00A84E97">
        <w:t xml:space="preserve">egradantes, </w:t>
      </w:r>
      <w:r w:rsidRPr="00A84E97">
        <w:t xml:space="preserve">en </w:t>
      </w:r>
      <w:r w:rsidR="00A84E97">
        <w:t>junio</w:t>
      </w:r>
      <w:r w:rsidRPr="00A84E97">
        <w:t xml:space="preserve"> de 20</w:t>
      </w:r>
      <w:r w:rsidR="00A84E97" w:rsidRPr="00A84E97">
        <w:t>13</w:t>
      </w:r>
      <w:r w:rsidR="00D97788">
        <w:t>, y apr</w:t>
      </w:r>
      <w:r w:rsidR="00E952E3">
        <w:t>obación del Plan Nacional de Prevención de la Tortura y Otros Tratos Crueles, Inhumanos o Degradantes, en octubre de 2013</w:t>
      </w:r>
      <w:r w:rsidRPr="00A84E97">
        <w:t>.</w:t>
      </w:r>
    </w:p>
    <w:p w:rsidR="00E12E19" w:rsidRDefault="00001A96" w:rsidP="00001A96">
      <w:pPr>
        <w:pStyle w:val="SingleTxtG"/>
      </w:pPr>
      <w:r>
        <w:t>4.</w:t>
      </w:r>
      <w:r>
        <w:tab/>
      </w:r>
      <w:r w:rsidR="00E12E19">
        <w:t>El Comité acoge favorablemente la ratificación por el Estado parte de los siguientes instrumentos internac</w:t>
      </w:r>
      <w:r w:rsidR="00DE2960">
        <w:t>ionales, o la adhesión a ellos:</w:t>
      </w:r>
    </w:p>
    <w:p w:rsidR="00E12E19" w:rsidRDefault="00E12E19" w:rsidP="00E12E19">
      <w:pPr>
        <w:pStyle w:val="SingleTxtG"/>
      </w:pPr>
      <w:r>
        <w:tab/>
        <w:t>a)</w:t>
      </w:r>
      <w:r>
        <w:tab/>
        <w:t xml:space="preserve">Los Protocolos Facultativos de la Convención sobre los Derechos del Niño relativos a la venta de niños, la prostitución infantil y la utilización de niños en la pornografía, el </w:t>
      </w:r>
      <w:r w:rsidR="001B6470">
        <w:t>8</w:t>
      </w:r>
      <w:r>
        <w:t xml:space="preserve"> de mayo de 2002, y a la participación de niños en los conflictos armados, el </w:t>
      </w:r>
      <w:r w:rsidR="001B6470">
        <w:t>23 de septiembre de 2003</w:t>
      </w:r>
      <w:r>
        <w:t>;</w:t>
      </w:r>
    </w:p>
    <w:p w:rsidR="00E12E19" w:rsidRDefault="00E12E19" w:rsidP="00E12E19">
      <w:pPr>
        <w:pStyle w:val="SingleTxtG"/>
      </w:pPr>
      <w:r>
        <w:tab/>
        <w:t>b)</w:t>
      </w:r>
      <w:r>
        <w:tab/>
      </w:r>
      <w:r w:rsidR="001B6470">
        <w:t xml:space="preserve">El Protocolo Facultativo de la Convención sobre la </w:t>
      </w:r>
      <w:r w:rsidR="006724FD">
        <w:t>e</w:t>
      </w:r>
      <w:r w:rsidR="001B6470">
        <w:t xml:space="preserve">liminación de </w:t>
      </w:r>
      <w:r w:rsidR="006724FD">
        <w:t>t</w:t>
      </w:r>
      <w:r w:rsidR="001B6470">
        <w:t xml:space="preserve">odas las </w:t>
      </w:r>
      <w:r w:rsidR="006724FD">
        <w:t>f</w:t>
      </w:r>
      <w:r w:rsidR="001B6470">
        <w:t>ormas de</w:t>
      </w:r>
      <w:r w:rsidR="006724FD">
        <w:t xml:space="preserve"> d</w:t>
      </w:r>
      <w:r w:rsidR="001B6470">
        <w:t xml:space="preserve">iscriminación contra la </w:t>
      </w:r>
      <w:r w:rsidR="006724FD">
        <w:t>m</w:t>
      </w:r>
      <w:r w:rsidR="001B6470">
        <w:t>ujer, el 13 de mayo de 20</w:t>
      </w:r>
      <w:r w:rsidR="00710556">
        <w:t>0</w:t>
      </w:r>
      <w:r w:rsidR="001B6470">
        <w:t>2;</w:t>
      </w:r>
    </w:p>
    <w:p w:rsidR="00E12E19" w:rsidRDefault="00E12E19" w:rsidP="00E12E19">
      <w:pPr>
        <w:pStyle w:val="SingleTxtG"/>
      </w:pPr>
      <w:r>
        <w:tab/>
        <w:t>c)</w:t>
      </w:r>
      <w:r>
        <w:tab/>
      </w:r>
      <w:r w:rsidR="001B6470">
        <w:t xml:space="preserve">La Convención sobre los </w:t>
      </w:r>
      <w:r w:rsidR="004970FE">
        <w:t>d</w:t>
      </w:r>
      <w:r w:rsidR="001B6470">
        <w:t xml:space="preserve">erechos de las </w:t>
      </w:r>
      <w:r w:rsidR="004970FE">
        <w:t>p</w:t>
      </w:r>
      <w:r w:rsidR="001B6470">
        <w:t xml:space="preserve">ersonas con </w:t>
      </w:r>
      <w:r w:rsidR="004970FE">
        <w:t>d</w:t>
      </w:r>
      <w:r w:rsidR="001B6470">
        <w:t>iscapacidad</w:t>
      </w:r>
      <w:r w:rsidR="004970FE">
        <w:t xml:space="preserve"> y su Protocolo Facultativo</w:t>
      </w:r>
      <w:r w:rsidR="001B6470">
        <w:t xml:space="preserve">, el </w:t>
      </w:r>
      <w:r w:rsidR="00404ED9">
        <w:t>24 de septiembre de 2013</w:t>
      </w:r>
      <w:r w:rsidR="002001D2">
        <w:t>.</w:t>
      </w:r>
    </w:p>
    <w:p w:rsidR="00E12E19" w:rsidRDefault="00E12E19" w:rsidP="00E12E19">
      <w:pPr>
        <w:pStyle w:val="H1G"/>
      </w:pPr>
      <w:r>
        <w:tab/>
      </w:r>
      <w:r>
        <w:tab/>
        <w:t>Principales motivos de preocupación y recomendaciones</w:t>
      </w:r>
    </w:p>
    <w:p w:rsidR="00E12E19" w:rsidRDefault="00E12E19" w:rsidP="00E12E19">
      <w:pPr>
        <w:pStyle w:val="H23G"/>
      </w:pPr>
      <w:r>
        <w:tab/>
      </w:r>
      <w:r>
        <w:tab/>
        <w:t>Aplicabilidad interna del Pacto</w:t>
      </w:r>
    </w:p>
    <w:p w:rsidR="0052192D" w:rsidRDefault="00001A96" w:rsidP="00001A96">
      <w:pPr>
        <w:pStyle w:val="SingleTxtG"/>
      </w:pPr>
      <w:r>
        <w:t>5.</w:t>
      </w:r>
      <w:r>
        <w:tab/>
      </w:r>
      <w:r w:rsidR="0052192D">
        <w:t xml:space="preserve">El Comité observa </w:t>
      </w:r>
      <w:r w:rsidR="005C3DDC">
        <w:t xml:space="preserve">con satisfacción </w:t>
      </w:r>
      <w:r w:rsidR="0052192D">
        <w:t xml:space="preserve">que, de conformidad con el texto constitucional, los tratados de derechos humanos </w:t>
      </w:r>
      <w:r w:rsidR="00F35F41">
        <w:t>“</w:t>
      </w:r>
      <w:r w:rsidR="0052192D">
        <w:t xml:space="preserve">son </w:t>
      </w:r>
      <w:r w:rsidR="00F35F41">
        <w:t xml:space="preserve">de </w:t>
      </w:r>
      <w:r w:rsidR="0052192D">
        <w:t>aplicación inmediata y directa por los tribunales y demás órganos del Poder Público.</w:t>
      </w:r>
      <w:r w:rsidR="00F35F41">
        <w:t>”</w:t>
      </w:r>
      <w:r w:rsidR="005C3DDC">
        <w:t xml:space="preserve"> Sin embargo, lamenta </w:t>
      </w:r>
      <w:r w:rsidR="00107AD7">
        <w:t>la</w:t>
      </w:r>
      <w:r w:rsidR="00D20F9F">
        <w:t xml:space="preserve"> </w:t>
      </w:r>
      <w:r w:rsidR="00107AD7">
        <w:t>limitada</w:t>
      </w:r>
      <w:r w:rsidR="0052192D">
        <w:t xml:space="preserve"> información sobre casos en que los tribunales ha</w:t>
      </w:r>
      <w:r w:rsidR="007A21BA">
        <w:t>ya</w:t>
      </w:r>
      <w:r w:rsidR="0052192D">
        <w:t xml:space="preserve">n </w:t>
      </w:r>
      <w:r w:rsidR="000B6B14">
        <w:t xml:space="preserve">invocado o </w:t>
      </w:r>
      <w:r w:rsidR="0052192D">
        <w:t xml:space="preserve">aplicado </w:t>
      </w:r>
      <w:r w:rsidR="005C3DDC">
        <w:t xml:space="preserve">directamente </w:t>
      </w:r>
      <w:r w:rsidR="0052192D">
        <w:t>las disposiciones del Pacto</w:t>
      </w:r>
      <w:r w:rsidR="00B73137">
        <w:t xml:space="preserve"> </w:t>
      </w:r>
      <w:r w:rsidR="00F35F41">
        <w:t>(art. 2).</w:t>
      </w:r>
    </w:p>
    <w:p w:rsidR="00D2627D" w:rsidRPr="00D2627D" w:rsidRDefault="00F35F41" w:rsidP="00D2627D">
      <w:pPr>
        <w:pStyle w:val="SingleTxtG"/>
        <w:rPr>
          <w:b/>
          <w:bCs/>
          <w:lang w:val="es-MX"/>
        </w:rPr>
      </w:pPr>
      <w:r w:rsidRPr="00F35F41">
        <w:rPr>
          <w:b/>
        </w:rPr>
        <w:t xml:space="preserve">El Estado parte debe </w:t>
      </w:r>
      <w:r w:rsidR="005C3DDC">
        <w:rPr>
          <w:b/>
        </w:rPr>
        <w:t xml:space="preserve">adoptar las medidas necesarias para </w:t>
      </w:r>
      <w:r w:rsidR="0014763D" w:rsidRPr="0014763D">
        <w:rPr>
          <w:b/>
          <w:bCs/>
          <w:lang w:val="es-MX"/>
        </w:rPr>
        <w:t>aumentar la conciencia sobre</w:t>
      </w:r>
      <w:r w:rsidR="0014763D">
        <w:rPr>
          <w:b/>
          <w:bCs/>
          <w:lang w:val="es-MX"/>
        </w:rPr>
        <w:t xml:space="preserve"> </w:t>
      </w:r>
      <w:r w:rsidR="0014763D" w:rsidRPr="0014763D">
        <w:rPr>
          <w:b/>
          <w:bCs/>
          <w:lang w:val="es-MX"/>
        </w:rPr>
        <w:t>el Pacto y su aplicabilidad en el derecho nacional entre los jueces, abogados y fiscales</w:t>
      </w:r>
      <w:r w:rsidR="0014763D">
        <w:rPr>
          <w:b/>
          <w:bCs/>
          <w:lang w:val="es-MX"/>
        </w:rPr>
        <w:t xml:space="preserve"> </w:t>
      </w:r>
      <w:r w:rsidR="0014763D">
        <w:rPr>
          <w:b/>
        </w:rPr>
        <w:t>con miras a garantizar</w:t>
      </w:r>
      <w:r w:rsidRPr="00F35F41">
        <w:rPr>
          <w:b/>
        </w:rPr>
        <w:t xml:space="preserve"> </w:t>
      </w:r>
      <w:r w:rsidR="0014763D">
        <w:rPr>
          <w:b/>
        </w:rPr>
        <w:t xml:space="preserve">que </w:t>
      </w:r>
      <w:r w:rsidR="0014763D" w:rsidRPr="00703406">
        <w:rPr>
          <w:b/>
        </w:rPr>
        <w:t xml:space="preserve">la legislación nacional se </w:t>
      </w:r>
      <w:r w:rsidRPr="00703406">
        <w:rPr>
          <w:b/>
        </w:rPr>
        <w:t>apli</w:t>
      </w:r>
      <w:r w:rsidR="0014763D" w:rsidRPr="00703406">
        <w:rPr>
          <w:b/>
        </w:rPr>
        <w:t xml:space="preserve">que </w:t>
      </w:r>
      <w:r w:rsidRPr="00703406">
        <w:rPr>
          <w:b/>
        </w:rPr>
        <w:t>e interpret</w:t>
      </w:r>
      <w:r w:rsidR="0014763D" w:rsidRPr="00703406">
        <w:rPr>
          <w:b/>
        </w:rPr>
        <w:t xml:space="preserve">e </w:t>
      </w:r>
      <w:r w:rsidRPr="00703406">
        <w:rPr>
          <w:b/>
        </w:rPr>
        <w:t>a la luz del Pacto</w:t>
      </w:r>
      <w:r w:rsidR="005C3DDC">
        <w:rPr>
          <w:b/>
        </w:rPr>
        <w:t>.</w:t>
      </w:r>
    </w:p>
    <w:p w:rsidR="00E12E19" w:rsidRPr="00C91C95" w:rsidRDefault="00E12E19" w:rsidP="00C91C95">
      <w:pPr>
        <w:pStyle w:val="SingleTxtG"/>
        <w:rPr>
          <w:b/>
        </w:rPr>
      </w:pPr>
      <w:r w:rsidRPr="00C91C95">
        <w:rPr>
          <w:b/>
        </w:rPr>
        <w:t>Institución nacional de derechos humanos</w:t>
      </w:r>
    </w:p>
    <w:p w:rsidR="00E12E19" w:rsidRDefault="00001A96" w:rsidP="00001A96">
      <w:pPr>
        <w:pStyle w:val="SingleTxtG"/>
      </w:pPr>
      <w:r>
        <w:t>6.</w:t>
      </w:r>
      <w:r>
        <w:tab/>
      </w:r>
      <w:r w:rsidR="00283F63">
        <w:t>Al</w:t>
      </w:r>
      <w:r w:rsidR="00E12E19">
        <w:t xml:space="preserve"> Comité</w:t>
      </w:r>
      <w:r w:rsidR="007B0541">
        <w:t xml:space="preserve"> </w:t>
      </w:r>
      <w:r w:rsidR="00283F63">
        <w:t xml:space="preserve">le preocupa </w:t>
      </w:r>
      <w:r w:rsidR="005101B4">
        <w:t>que</w:t>
      </w:r>
      <w:r w:rsidR="009139A1">
        <w:t>,</w:t>
      </w:r>
      <w:r w:rsidR="007B0541">
        <w:t xml:space="preserve"> durante su período de sesiones</w:t>
      </w:r>
      <w:r w:rsidR="00414383">
        <w:t xml:space="preserve"> de</w:t>
      </w:r>
      <w:r w:rsidR="007B0541">
        <w:t xml:space="preserve"> marzo de 2015, el Subcomité de Acreditación del </w:t>
      </w:r>
      <w:r w:rsidR="00A23652" w:rsidRPr="00A23652">
        <w:t>Comité Internacional de Coordinación de las Instituciones Nacionales para la promoción y protección de los derechos humanos</w:t>
      </w:r>
      <w:r w:rsidR="00A23652">
        <w:t xml:space="preserve"> </w:t>
      </w:r>
      <w:r w:rsidR="000B6B14">
        <w:t xml:space="preserve">haya </w:t>
      </w:r>
      <w:r w:rsidR="007B0541">
        <w:t>recomend</w:t>
      </w:r>
      <w:r w:rsidR="000B6B14">
        <w:t>ado</w:t>
      </w:r>
      <w:r w:rsidR="007B0541">
        <w:t xml:space="preserve"> que se rebaje la categoría de la acreditación de la Defensoría </w:t>
      </w:r>
      <w:r w:rsidR="000B6B14">
        <w:t xml:space="preserve">del Pueblo </w:t>
      </w:r>
      <w:r w:rsidR="007B0541">
        <w:t xml:space="preserve">a clase </w:t>
      </w:r>
      <w:r w:rsidR="007B0541" w:rsidRPr="00414383">
        <w:t>B</w:t>
      </w:r>
      <w:r w:rsidR="009A2515">
        <w:t xml:space="preserve"> </w:t>
      </w:r>
      <w:r w:rsidR="00E12E19">
        <w:t>(art.</w:t>
      </w:r>
      <w:r w:rsidR="00BE24BD">
        <w:t xml:space="preserve"> </w:t>
      </w:r>
      <w:r w:rsidR="00E12E19">
        <w:t>2).</w:t>
      </w:r>
    </w:p>
    <w:p w:rsidR="00E12E19" w:rsidRPr="00E12E19" w:rsidRDefault="00E12E19" w:rsidP="00E12E19">
      <w:pPr>
        <w:pStyle w:val="SingleTxtG"/>
        <w:rPr>
          <w:b/>
        </w:rPr>
      </w:pPr>
      <w:r w:rsidRPr="00E12E19">
        <w:rPr>
          <w:b/>
        </w:rPr>
        <w:t xml:space="preserve">El Comité </w:t>
      </w:r>
      <w:r w:rsidR="00601CFF">
        <w:rPr>
          <w:b/>
        </w:rPr>
        <w:t>recomienda que</w:t>
      </w:r>
      <w:r w:rsidR="007E5D3A">
        <w:rPr>
          <w:b/>
        </w:rPr>
        <w:t xml:space="preserve"> </w:t>
      </w:r>
      <w:r w:rsidR="00601CFF">
        <w:rPr>
          <w:b/>
        </w:rPr>
        <w:t>e</w:t>
      </w:r>
      <w:r w:rsidRPr="00E12E19">
        <w:rPr>
          <w:b/>
        </w:rPr>
        <w:t xml:space="preserve">l Estado </w:t>
      </w:r>
      <w:r w:rsidRPr="001D7058">
        <w:rPr>
          <w:b/>
        </w:rPr>
        <w:t xml:space="preserve">parte </w:t>
      </w:r>
      <w:r w:rsidR="00703406" w:rsidRPr="001D7058">
        <w:rPr>
          <w:b/>
        </w:rPr>
        <w:t>adopte las medidas necesarias</w:t>
      </w:r>
      <w:r w:rsidR="009139A1">
        <w:rPr>
          <w:b/>
        </w:rPr>
        <w:t xml:space="preserve"> par</w:t>
      </w:r>
      <w:r w:rsidR="007E5D3A">
        <w:rPr>
          <w:b/>
        </w:rPr>
        <w:t xml:space="preserve">a </w:t>
      </w:r>
      <w:r w:rsidR="009139A1">
        <w:rPr>
          <w:b/>
        </w:rPr>
        <w:t>garantizar</w:t>
      </w:r>
      <w:r w:rsidR="007E5D3A">
        <w:rPr>
          <w:b/>
        </w:rPr>
        <w:t xml:space="preserve"> que la Defensoría del Pueblo </w:t>
      </w:r>
      <w:r w:rsidR="004207B2">
        <w:rPr>
          <w:b/>
        </w:rPr>
        <w:t>ejerza</w:t>
      </w:r>
      <w:r w:rsidR="009139A1">
        <w:rPr>
          <w:b/>
        </w:rPr>
        <w:t xml:space="preserve"> plenamente y de manera </w:t>
      </w:r>
      <w:r w:rsidR="004207B2">
        <w:rPr>
          <w:b/>
        </w:rPr>
        <w:t xml:space="preserve">eficaz e </w:t>
      </w:r>
      <w:r w:rsidR="009139A1">
        <w:rPr>
          <w:b/>
        </w:rPr>
        <w:t xml:space="preserve">independiente </w:t>
      </w:r>
      <w:r w:rsidR="007E5D3A">
        <w:rPr>
          <w:b/>
        </w:rPr>
        <w:t>su mandato de protección y promoción de los derechos humanos</w:t>
      </w:r>
      <w:r w:rsidR="009139A1">
        <w:rPr>
          <w:b/>
        </w:rPr>
        <w:t>, de</w:t>
      </w:r>
      <w:r w:rsidRPr="00E12E19">
        <w:rPr>
          <w:b/>
        </w:rPr>
        <w:t xml:space="preserve"> </w:t>
      </w:r>
      <w:r w:rsidR="007E5D3A">
        <w:rPr>
          <w:b/>
        </w:rPr>
        <w:t>conformidad</w:t>
      </w:r>
      <w:r w:rsidRPr="00E12E19">
        <w:rPr>
          <w:b/>
        </w:rPr>
        <w:t xml:space="preserve"> con </w:t>
      </w:r>
      <w:r w:rsidR="00A23652" w:rsidRPr="00A23652">
        <w:rPr>
          <w:b/>
        </w:rPr>
        <w:t>los Principios relativos al Estatuto de las Instituciones Nacionales de Promoción y Protección de los Derechos Humanos (Principios de París) (Resolución 48/134 de la Asamblea General, anexo)</w:t>
      </w:r>
      <w:r w:rsidR="009139A1">
        <w:rPr>
          <w:b/>
        </w:rPr>
        <w:t>.</w:t>
      </w:r>
    </w:p>
    <w:p w:rsidR="00E12E19" w:rsidRDefault="00E12E19" w:rsidP="00E12E19">
      <w:pPr>
        <w:pStyle w:val="H23G"/>
      </w:pPr>
      <w:r>
        <w:tab/>
      </w:r>
      <w:r>
        <w:tab/>
        <w:t>Igualdad de género</w:t>
      </w:r>
    </w:p>
    <w:p w:rsidR="00E12E19" w:rsidRDefault="00001A96" w:rsidP="00001A96">
      <w:pPr>
        <w:pStyle w:val="SingleTxtG"/>
      </w:pPr>
      <w:r>
        <w:t>7.</w:t>
      </w:r>
      <w:r>
        <w:tab/>
      </w:r>
      <w:r w:rsidR="00E12E19">
        <w:t xml:space="preserve">El Comité </w:t>
      </w:r>
      <w:r w:rsidR="008C0C60">
        <w:t>nota</w:t>
      </w:r>
      <w:r w:rsidR="00E12E19">
        <w:t xml:space="preserve"> con </w:t>
      </w:r>
      <w:r w:rsidR="007732E5">
        <w:t>satisfacción</w:t>
      </w:r>
      <w:r w:rsidR="00E12E19">
        <w:t xml:space="preserve"> las medidas adoptadas por el Estado parte </w:t>
      </w:r>
      <w:r w:rsidR="00E56BD8">
        <w:t>en materia de igualdad de género,</w:t>
      </w:r>
      <w:r w:rsidR="00DB49D4">
        <w:t xml:space="preserve"> </w:t>
      </w:r>
      <w:r w:rsidR="002F1AE9">
        <w:t xml:space="preserve">incluyendo </w:t>
      </w:r>
      <w:r w:rsidR="007C65BA">
        <w:t>a nivel legislativo</w:t>
      </w:r>
      <w:r w:rsidR="00283D32">
        <w:t xml:space="preserve"> </w:t>
      </w:r>
      <w:r w:rsidR="000B6B14">
        <w:t xml:space="preserve">tales </w:t>
      </w:r>
      <w:r w:rsidR="002F1AE9">
        <w:t>como</w:t>
      </w:r>
      <w:r w:rsidR="000D4853">
        <w:t xml:space="preserve"> las </w:t>
      </w:r>
      <w:r w:rsidR="000B6B14">
        <w:t xml:space="preserve">que se desprenden de las </w:t>
      </w:r>
      <w:r w:rsidR="000D4853">
        <w:t>decisiones d</w:t>
      </w:r>
      <w:r w:rsidR="00283D32">
        <w:t xml:space="preserve">el Tribunal Supremo de Justicia respecto </w:t>
      </w:r>
      <w:r w:rsidR="000D4853">
        <w:t>de</w:t>
      </w:r>
      <w:r w:rsidR="00283D32">
        <w:t xml:space="preserve"> los artículos 46 </w:t>
      </w:r>
      <w:r w:rsidR="00283D32">
        <w:lastRenderedPageBreak/>
        <w:t>y 57 del Código Civil</w:t>
      </w:r>
      <w:r w:rsidR="00A62121">
        <w:t xml:space="preserve"> y 393 del Código Penal</w:t>
      </w:r>
      <w:r w:rsidR="002F1AE9">
        <w:t xml:space="preserve">. Sin </w:t>
      </w:r>
      <w:r w:rsidR="004A41E2">
        <w:t>embargo</w:t>
      </w:r>
      <w:r w:rsidR="002F1AE9">
        <w:t xml:space="preserve">, </w:t>
      </w:r>
      <w:r w:rsidR="006061A8" w:rsidRPr="006061A8">
        <w:t xml:space="preserve">le preocupan los informes de </w:t>
      </w:r>
      <w:r w:rsidR="006061A8">
        <w:t>que</w:t>
      </w:r>
      <w:r w:rsidR="00477976">
        <w:t xml:space="preserve"> </w:t>
      </w:r>
      <w:r w:rsidR="006061A8">
        <w:t>aún</w:t>
      </w:r>
      <w:r w:rsidR="002F1AE9">
        <w:t xml:space="preserve"> continú</w:t>
      </w:r>
      <w:r w:rsidR="00477976">
        <w:t>a</w:t>
      </w:r>
      <w:r w:rsidR="002F1AE9">
        <w:t>n vigentes disposiciones legislativas que discriminan contra las mujeres, como aquellas contenidas en el</w:t>
      </w:r>
      <w:r w:rsidR="004A41E2">
        <w:t xml:space="preserve"> Título VIII</w:t>
      </w:r>
      <w:r w:rsidR="002F1AE9">
        <w:t xml:space="preserve"> del Código Penal relativas al adulterio</w:t>
      </w:r>
      <w:r w:rsidR="00283D32">
        <w:t xml:space="preserve"> </w:t>
      </w:r>
      <w:r w:rsidR="00E12E19">
        <w:t>(arts. 2, 3 y 26).</w:t>
      </w:r>
    </w:p>
    <w:p w:rsidR="00686BD6" w:rsidRDefault="00686BD6" w:rsidP="002F1AE9">
      <w:pPr>
        <w:pStyle w:val="SingleTxtG"/>
        <w:rPr>
          <w:b/>
        </w:rPr>
      </w:pPr>
      <w:r w:rsidRPr="00686BD6">
        <w:rPr>
          <w:b/>
          <w:bCs/>
          <w:lang w:val="es-MX"/>
        </w:rPr>
        <w:t>El Comité recuerda su Observación general Nº 28 (2000) y recomienda</w:t>
      </w:r>
      <w:r>
        <w:rPr>
          <w:b/>
          <w:bCs/>
          <w:lang w:val="es-MX"/>
        </w:rPr>
        <w:t xml:space="preserve"> </w:t>
      </w:r>
      <w:r w:rsidRPr="00686BD6">
        <w:rPr>
          <w:b/>
          <w:bCs/>
          <w:lang w:val="es-MX"/>
        </w:rPr>
        <w:t xml:space="preserve">que el Estado parte intensifique sus esfuerzos </w:t>
      </w:r>
      <w:r w:rsidR="00F1789D">
        <w:rPr>
          <w:b/>
          <w:bCs/>
          <w:lang w:val="es-MX"/>
        </w:rPr>
        <w:t>con miras a</w:t>
      </w:r>
      <w:r w:rsidRPr="00686BD6">
        <w:rPr>
          <w:b/>
          <w:bCs/>
          <w:lang w:val="es-MX"/>
        </w:rPr>
        <w:t xml:space="preserve"> garantizar la igualdad </w:t>
      </w:r>
      <w:r w:rsidRPr="00686BD6">
        <w:rPr>
          <w:b/>
          <w:bCs/>
          <w:i/>
          <w:iCs/>
          <w:lang w:val="es-MX"/>
        </w:rPr>
        <w:t xml:space="preserve">de jure </w:t>
      </w:r>
      <w:r w:rsidRPr="00686BD6">
        <w:rPr>
          <w:b/>
          <w:bCs/>
          <w:lang w:val="es-MX"/>
        </w:rPr>
        <w:t xml:space="preserve">y </w:t>
      </w:r>
      <w:r w:rsidRPr="00686BD6">
        <w:rPr>
          <w:b/>
          <w:bCs/>
          <w:i/>
          <w:iCs/>
          <w:lang w:val="es-MX"/>
        </w:rPr>
        <w:t>de</w:t>
      </w:r>
      <w:r>
        <w:rPr>
          <w:b/>
          <w:bCs/>
          <w:i/>
          <w:iCs/>
          <w:lang w:val="es-MX"/>
        </w:rPr>
        <w:t xml:space="preserve"> </w:t>
      </w:r>
      <w:r w:rsidRPr="00686BD6">
        <w:rPr>
          <w:b/>
          <w:bCs/>
          <w:i/>
          <w:iCs/>
          <w:lang w:val="es-MX"/>
        </w:rPr>
        <w:t xml:space="preserve">facto </w:t>
      </w:r>
      <w:r w:rsidRPr="00686BD6">
        <w:rPr>
          <w:b/>
          <w:bCs/>
          <w:lang w:val="es-MX"/>
        </w:rPr>
        <w:t>entre hombres y mujeres</w:t>
      </w:r>
      <w:r w:rsidR="00082F7C" w:rsidRPr="00082F7C">
        <w:rPr>
          <w:b/>
        </w:rPr>
        <w:t xml:space="preserve"> </w:t>
      </w:r>
      <w:r w:rsidR="00082F7C" w:rsidRPr="00082F7C">
        <w:rPr>
          <w:b/>
          <w:bCs/>
        </w:rPr>
        <w:t>en todas las esferas</w:t>
      </w:r>
      <w:r w:rsidRPr="00686BD6">
        <w:rPr>
          <w:b/>
          <w:bCs/>
          <w:lang w:val="es-MX"/>
        </w:rPr>
        <w:t xml:space="preserve">. </w:t>
      </w:r>
      <w:r w:rsidR="002F1AE9">
        <w:rPr>
          <w:b/>
          <w:bCs/>
          <w:lang w:val="es-MX"/>
        </w:rPr>
        <w:t>En particular, le recomienda que adopte</w:t>
      </w:r>
      <w:r>
        <w:rPr>
          <w:b/>
        </w:rPr>
        <w:t xml:space="preserve"> las medidas necesarias para garantizar que no persistan disposiciones legales que sean discriminatorias contra la mujer</w:t>
      </w:r>
      <w:r w:rsidR="005C1E00">
        <w:rPr>
          <w:b/>
        </w:rPr>
        <w:t>.</w:t>
      </w:r>
      <w:r w:rsidR="00677999" w:rsidRPr="00677999">
        <w:rPr>
          <w:b/>
        </w:rPr>
        <w:t xml:space="preserve"> Asimismo, </w:t>
      </w:r>
      <w:r w:rsidR="00BA728C">
        <w:rPr>
          <w:b/>
        </w:rPr>
        <w:t>le recomienda que</w:t>
      </w:r>
      <w:r w:rsidR="00677999" w:rsidRPr="00677999">
        <w:rPr>
          <w:b/>
        </w:rPr>
        <w:t xml:space="preserve"> intensifi</w:t>
      </w:r>
      <w:r w:rsidR="00BA728C">
        <w:rPr>
          <w:b/>
        </w:rPr>
        <w:t>que</w:t>
      </w:r>
      <w:r w:rsidR="00677999" w:rsidRPr="00677999">
        <w:rPr>
          <w:b/>
        </w:rPr>
        <w:t xml:space="preserve"> sus esfuerzos con miras a eliminar los estereotipos de género </w:t>
      </w:r>
      <w:r w:rsidR="00677999" w:rsidRPr="00677999">
        <w:rPr>
          <w:b/>
          <w:bCs/>
        </w:rPr>
        <w:t>sobre el papel y las responsabilidades de los hombres y de las mujeres en la familia y en la sociedad</w:t>
      </w:r>
      <w:r w:rsidR="00677999" w:rsidRPr="00677999">
        <w:rPr>
          <w:b/>
        </w:rPr>
        <w:t>.</w:t>
      </w:r>
    </w:p>
    <w:p w:rsidR="00E12E19" w:rsidRDefault="00D64D63" w:rsidP="00E12E19">
      <w:pPr>
        <w:pStyle w:val="H23G"/>
      </w:pPr>
      <w:r>
        <w:tab/>
      </w:r>
      <w:r w:rsidR="00E12E19">
        <w:tab/>
      </w:r>
      <w:r w:rsidR="00EC4C56">
        <w:t>Presuntos actos de d</w:t>
      </w:r>
      <w:r w:rsidR="00E12E19">
        <w:t xml:space="preserve">iscriminación </w:t>
      </w:r>
      <w:r>
        <w:t xml:space="preserve">y violencia </w:t>
      </w:r>
      <w:r w:rsidR="00E12E19">
        <w:t>por motivos de orientación sexual o identidad de género</w:t>
      </w:r>
    </w:p>
    <w:p w:rsidR="007732E5" w:rsidRPr="007732E5" w:rsidRDefault="00001A96" w:rsidP="00001A96">
      <w:pPr>
        <w:pStyle w:val="SingleTxtG"/>
        <w:rPr>
          <w:lang w:val="es-MX"/>
        </w:rPr>
      </w:pPr>
      <w:r w:rsidRPr="007732E5">
        <w:t>8.</w:t>
      </w:r>
      <w:r w:rsidRPr="007732E5">
        <w:tab/>
      </w:r>
      <w:r w:rsidR="002F56B8">
        <w:t xml:space="preserve">El Comité </w:t>
      </w:r>
      <w:r w:rsidR="000B6B14">
        <w:t>reconoce la labor de</w:t>
      </w:r>
      <w:r w:rsidR="002F56B8">
        <w:t xml:space="preserve"> </w:t>
      </w:r>
      <w:r w:rsidR="00714F3B">
        <w:t xml:space="preserve">la </w:t>
      </w:r>
      <w:r w:rsidR="002F56B8">
        <w:t xml:space="preserve">Defensoría del Pueblo en relación con los derechos de las </w:t>
      </w:r>
      <w:r w:rsidR="002F56B8" w:rsidRPr="00D64D63">
        <w:rPr>
          <w:lang w:val="es-MX"/>
        </w:rPr>
        <w:t>personas lesbianas, gais, bisexuales</w:t>
      </w:r>
      <w:r w:rsidR="00A23652">
        <w:rPr>
          <w:lang w:val="es-MX"/>
        </w:rPr>
        <w:t>,</w:t>
      </w:r>
      <w:r w:rsidR="002F56B8" w:rsidRPr="00D64D63">
        <w:rPr>
          <w:lang w:val="es-MX"/>
        </w:rPr>
        <w:t xml:space="preserve"> </w:t>
      </w:r>
      <w:proofErr w:type="spellStart"/>
      <w:r w:rsidR="002F56B8" w:rsidRPr="00D64D63">
        <w:rPr>
          <w:lang w:val="es-MX"/>
        </w:rPr>
        <w:t>transgénero</w:t>
      </w:r>
      <w:proofErr w:type="spellEnd"/>
      <w:r w:rsidR="002F56B8" w:rsidRPr="00D64D63">
        <w:rPr>
          <w:lang w:val="es-MX"/>
        </w:rPr>
        <w:t xml:space="preserve"> </w:t>
      </w:r>
      <w:r w:rsidR="00A23652">
        <w:rPr>
          <w:lang w:val="es-MX"/>
        </w:rPr>
        <w:t xml:space="preserve">e intersexuales </w:t>
      </w:r>
      <w:r w:rsidR="002F56B8" w:rsidRPr="00C17A31">
        <w:t>(LGBT</w:t>
      </w:r>
      <w:r w:rsidR="00A23652">
        <w:t>I</w:t>
      </w:r>
      <w:r w:rsidR="002F56B8" w:rsidRPr="00C17A31">
        <w:t>)</w:t>
      </w:r>
      <w:r w:rsidR="002F56B8">
        <w:t xml:space="preserve">. Sin embargo, </w:t>
      </w:r>
      <w:r w:rsidR="00A56921" w:rsidRPr="00A56921">
        <w:t>le preocupa</w:t>
      </w:r>
      <w:r w:rsidR="00062706">
        <w:t>n</w:t>
      </w:r>
      <w:r w:rsidR="00A56921" w:rsidRPr="00A56921">
        <w:t xml:space="preserve"> </w:t>
      </w:r>
      <w:r w:rsidR="00C17A31" w:rsidRPr="00C17A31">
        <w:t>las informaciones sobre la discriminación y los actos de violencia</w:t>
      </w:r>
      <w:r w:rsidR="00C17A31">
        <w:t>, incluyendo asesinatos,</w:t>
      </w:r>
      <w:r w:rsidR="00C17A31" w:rsidRPr="00C17A31">
        <w:t xml:space="preserve"> </w:t>
      </w:r>
      <w:r w:rsidR="002F56B8">
        <w:t xml:space="preserve">que sufren estas personas </w:t>
      </w:r>
      <w:r w:rsidR="00C17A31" w:rsidRPr="00C17A31">
        <w:t>debido a su orientación sexual o identidad de género (arts. 2, 6, 7 y 26).</w:t>
      </w:r>
    </w:p>
    <w:p w:rsidR="007732E5" w:rsidRPr="007732E5" w:rsidRDefault="00D33E46" w:rsidP="007732E5">
      <w:pPr>
        <w:pStyle w:val="SingleTxtG"/>
        <w:rPr>
          <w:b/>
          <w:bCs/>
          <w:lang w:val="es-MX"/>
        </w:rPr>
      </w:pPr>
      <w:r w:rsidRPr="00D33E46">
        <w:rPr>
          <w:b/>
          <w:bCs/>
        </w:rPr>
        <w:t xml:space="preserve">El Estado parte debe redoblar sus esfuerzos </w:t>
      </w:r>
      <w:r w:rsidR="00703406">
        <w:rPr>
          <w:b/>
          <w:bCs/>
        </w:rPr>
        <w:t>par</w:t>
      </w:r>
      <w:r w:rsidR="003F1506">
        <w:rPr>
          <w:b/>
          <w:bCs/>
        </w:rPr>
        <w:t xml:space="preserve">a </w:t>
      </w:r>
      <w:r w:rsidR="00A56921" w:rsidRPr="00A56921">
        <w:rPr>
          <w:b/>
          <w:bCs/>
        </w:rPr>
        <w:t xml:space="preserve">combatir los estereotipos y prejuicios contra las personas </w:t>
      </w:r>
      <w:r w:rsidR="00A56921">
        <w:rPr>
          <w:b/>
          <w:bCs/>
        </w:rPr>
        <w:t>LGBT</w:t>
      </w:r>
      <w:r w:rsidR="00A23652">
        <w:rPr>
          <w:b/>
          <w:bCs/>
        </w:rPr>
        <w:t>I</w:t>
      </w:r>
      <w:r w:rsidR="00A56921" w:rsidRPr="00A56921">
        <w:rPr>
          <w:b/>
          <w:bCs/>
        </w:rPr>
        <w:t xml:space="preserve"> </w:t>
      </w:r>
      <w:r w:rsidR="00A56921">
        <w:rPr>
          <w:b/>
          <w:bCs/>
        </w:rPr>
        <w:t xml:space="preserve">y </w:t>
      </w:r>
      <w:r w:rsidR="00B03F2E">
        <w:rPr>
          <w:b/>
          <w:bCs/>
        </w:rPr>
        <w:t xml:space="preserve">garantizar </w:t>
      </w:r>
      <w:r w:rsidR="00425C0E">
        <w:rPr>
          <w:b/>
          <w:bCs/>
        </w:rPr>
        <w:t xml:space="preserve">que se </w:t>
      </w:r>
      <w:r w:rsidR="00B03F2E">
        <w:rPr>
          <w:b/>
          <w:bCs/>
        </w:rPr>
        <w:t>preven</w:t>
      </w:r>
      <w:r w:rsidR="00425C0E">
        <w:rPr>
          <w:b/>
          <w:bCs/>
        </w:rPr>
        <w:t>gan</w:t>
      </w:r>
      <w:r w:rsidR="00B03F2E">
        <w:rPr>
          <w:b/>
          <w:bCs/>
        </w:rPr>
        <w:t xml:space="preserve"> </w:t>
      </w:r>
      <w:r w:rsidR="003F1506">
        <w:rPr>
          <w:b/>
          <w:bCs/>
        </w:rPr>
        <w:t xml:space="preserve">los actos de discriminación y </w:t>
      </w:r>
      <w:r w:rsidR="00BD6AEF" w:rsidRPr="00753655">
        <w:rPr>
          <w:b/>
          <w:bCs/>
        </w:rPr>
        <w:t xml:space="preserve">se </w:t>
      </w:r>
      <w:r w:rsidR="00A23652" w:rsidRPr="00753655">
        <w:rPr>
          <w:b/>
          <w:bCs/>
        </w:rPr>
        <w:t xml:space="preserve">investiguen, </w:t>
      </w:r>
      <w:r w:rsidR="00AA5E3C" w:rsidRPr="00753655">
        <w:rPr>
          <w:b/>
          <w:bCs/>
        </w:rPr>
        <w:t>procesen</w:t>
      </w:r>
      <w:r w:rsidR="00A23652" w:rsidRPr="00753655">
        <w:rPr>
          <w:b/>
          <w:bCs/>
        </w:rPr>
        <w:t xml:space="preserve"> y </w:t>
      </w:r>
      <w:r w:rsidR="00781B3F" w:rsidRPr="00753655">
        <w:rPr>
          <w:b/>
          <w:bCs/>
        </w:rPr>
        <w:t>sancione</w:t>
      </w:r>
      <w:r w:rsidR="00BD6AEF" w:rsidRPr="00753655">
        <w:rPr>
          <w:b/>
          <w:bCs/>
        </w:rPr>
        <w:t xml:space="preserve">n </w:t>
      </w:r>
      <w:r w:rsidR="00AA5E3C" w:rsidRPr="00753655">
        <w:rPr>
          <w:b/>
          <w:bCs/>
        </w:rPr>
        <w:t>con penas apropiadas a quienes sean responsables de</w:t>
      </w:r>
      <w:r w:rsidR="00A23652">
        <w:rPr>
          <w:b/>
          <w:bCs/>
        </w:rPr>
        <w:t xml:space="preserve"> </w:t>
      </w:r>
      <w:r w:rsidR="00BD6AEF" w:rsidRPr="00BD6AEF">
        <w:rPr>
          <w:b/>
          <w:bCs/>
        </w:rPr>
        <w:t>los actos de</w:t>
      </w:r>
      <w:r w:rsidR="00781B3F" w:rsidRPr="00BD6AEF">
        <w:rPr>
          <w:b/>
          <w:bCs/>
        </w:rPr>
        <w:t xml:space="preserve"> </w:t>
      </w:r>
      <w:r w:rsidR="003F1506" w:rsidRPr="00BD6AEF">
        <w:rPr>
          <w:b/>
          <w:bCs/>
        </w:rPr>
        <w:t>violencia</w:t>
      </w:r>
      <w:r w:rsidR="00C67A0C" w:rsidRPr="00BD6AEF">
        <w:rPr>
          <w:b/>
          <w:bCs/>
        </w:rPr>
        <w:t xml:space="preserve"> </w:t>
      </w:r>
      <w:r w:rsidR="0008477A">
        <w:rPr>
          <w:b/>
          <w:bCs/>
        </w:rPr>
        <w:t xml:space="preserve">en su </w:t>
      </w:r>
      <w:r w:rsidR="003F1506">
        <w:rPr>
          <w:b/>
          <w:bCs/>
        </w:rPr>
        <w:t>contra</w:t>
      </w:r>
      <w:r w:rsidR="00425C0E" w:rsidRPr="00425C0E">
        <w:rPr>
          <w:b/>
          <w:bCs/>
        </w:rPr>
        <w:t xml:space="preserve"> </w:t>
      </w:r>
      <w:r w:rsidR="00425C0E">
        <w:rPr>
          <w:b/>
          <w:bCs/>
        </w:rPr>
        <w:t>de manera eficaz</w:t>
      </w:r>
      <w:r w:rsidR="00C17A31" w:rsidRPr="00C17A31">
        <w:rPr>
          <w:b/>
          <w:bCs/>
        </w:rPr>
        <w:t>.</w:t>
      </w:r>
      <w:r w:rsidR="005E7E3D">
        <w:rPr>
          <w:b/>
          <w:bCs/>
          <w:lang w:val="es-MX"/>
        </w:rPr>
        <w:t xml:space="preserve"> </w:t>
      </w:r>
      <w:r w:rsidR="005E7E3D" w:rsidRPr="00163E0E">
        <w:rPr>
          <w:b/>
          <w:bCs/>
        </w:rPr>
        <w:t xml:space="preserve">Asimismo, </w:t>
      </w:r>
      <w:r w:rsidR="005E7E3D" w:rsidRPr="00D31607">
        <w:rPr>
          <w:b/>
          <w:bCs/>
        </w:rPr>
        <w:t xml:space="preserve">el Estado parte debe </w:t>
      </w:r>
      <w:r w:rsidR="007F77BE" w:rsidRPr="00D31607">
        <w:rPr>
          <w:b/>
          <w:bCs/>
        </w:rPr>
        <w:t>examinar la posibilidad de</w:t>
      </w:r>
      <w:r w:rsidR="005E7E3D" w:rsidRPr="00D31607">
        <w:rPr>
          <w:b/>
          <w:bCs/>
        </w:rPr>
        <w:t xml:space="preserve"> adoptar </w:t>
      </w:r>
      <w:r w:rsidR="004D01A9" w:rsidRPr="00D31607">
        <w:rPr>
          <w:b/>
          <w:bCs/>
        </w:rPr>
        <w:t xml:space="preserve">una </w:t>
      </w:r>
      <w:r w:rsidR="005E7E3D" w:rsidRPr="00D31607">
        <w:rPr>
          <w:b/>
          <w:bCs/>
          <w:lang w:val="es-MX"/>
        </w:rPr>
        <w:t xml:space="preserve">legislación amplia </w:t>
      </w:r>
      <w:r w:rsidR="00703406" w:rsidRPr="00D31607">
        <w:rPr>
          <w:b/>
          <w:bCs/>
          <w:lang w:val="es-MX"/>
        </w:rPr>
        <w:t xml:space="preserve">e integral </w:t>
      </w:r>
      <w:r w:rsidR="005E7E3D" w:rsidRPr="00D31607">
        <w:rPr>
          <w:b/>
          <w:bCs/>
          <w:lang w:val="es-MX"/>
        </w:rPr>
        <w:t xml:space="preserve">de lucha contra la discriminación que la prohíba y prevea una definición que contenga una lista </w:t>
      </w:r>
      <w:r w:rsidR="00357584">
        <w:rPr>
          <w:b/>
          <w:bCs/>
          <w:lang w:val="es-MX"/>
        </w:rPr>
        <w:t xml:space="preserve">comprensiva </w:t>
      </w:r>
      <w:r w:rsidR="005E7E3D" w:rsidRPr="00D31607">
        <w:rPr>
          <w:b/>
          <w:bCs/>
          <w:lang w:val="es-MX"/>
        </w:rPr>
        <w:t>de motivos de discriminación, incluyendo la orientación sexual y la identidad de género.</w:t>
      </w:r>
    </w:p>
    <w:p w:rsidR="00E12E19" w:rsidRDefault="00E12E19" w:rsidP="00E12E19">
      <w:pPr>
        <w:pStyle w:val="H23G"/>
      </w:pPr>
      <w:r>
        <w:tab/>
      </w:r>
      <w:r>
        <w:tab/>
        <w:t xml:space="preserve">Violencia </w:t>
      </w:r>
      <w:r w:rsidR="00D65D04">
        <w:t>contra la mujer</w:t>
      </w:r>
    </w:p>
    <w:p w:rsidR="00E12E19" w:rsidRDefault="00001A96" w:rsidP="00001A96">
      <w:pPr>
        <w:pStyle w:val="SingleTxtG"/>
      </w:pPr>
      <w:r>
        <w:t>9.</w:t>
      </w:r>
      <w:r>
        <w:tab/>
      </w:r>
      <w:r w:rsidR="005F2D12">
        <w:t>El Comité</w:t>
      </w:r>
      <w:r w:rsidR="00777E11">
        <w:t>, mientras</w:t>
      </w:r>
      <w:r w:rsidR="005F2D12">
        <w:t xml:space="preserve"> </w:t>
      </w:r>
      <w:r w:rsidR="000B6B14">
        <w:t>valora los esfuerzos d</w:t>
      </w:r>
      <w:r w:rsidR="00E12E19">
        <w:t xml:space="preserve">el Estado parte </w:t>
      </w:r>
      <w:r w:rsidR="005F2D12">
        <w:t>para combatir la violencia contra la mujer</w:t>
      </w:r>
      <w:r w:rsidR="00777E11">
        <w:t xml:space="preserve">, observa con </w:t>
      </w:r>
      <w:r w:rsidR="007B5670">
        <w:t xml:space="preserve">preocupación </w:t>
      </w:r>
      <w:r w:rsidR="00777E11">
        <w:t>l</w:t>
      </w:r>
      <w:r w:rsidR="00253AA3">
        <w:t xml:space="preserve">os informes que señalan que este fenómeno </w:t>
      </w:r>
      <w:r w:rsidR="00634655">
        <w:t>continúa representando un serio problema</w:t>
      </w:r>
      <w:r w:rsidR="00BD6AEF">
        <w:t xml:space="preserve"> </w:t>
      </w:r>
      <w:r w:rsidR="00E12E19">
        <w:t>(arts. 3</w:t>
      </w:r>
      <w:r w:rsidR="00A23652">
        <w:t>, 6</w:t>
      </w:r>
      <w:r w:rsidR="00E12E19">
        <w:t xml:space="preserve"> y 7).</w:t>
      </w:r>
    </w:p>
    <w:p w:rsidR="001D4848" w:rsidRPr="004A1EF9" w:rsidRDefault="005F2D12" w:rsidP="004A1EF9">
      <w:pPr>
        <w:pStyle w:val="SingleTxtG"/>
        <w:rPr>
          <w:b/>
          <w:bCs/>
          <w:lang w:val="es-MX"/>
        </w:rPr>
      </w:pPr>
      <w:r w:rsidRPr="005F2D12">
        <w:rPr>
          <w:b/>
        </w:rPr>
        <w:t>El Estado parte debe redoblar sus esfuerzos para prevenir</w:t>
      </w:r>
      <w:r w:rsidR="00BA728C">
        <w:rPr>
          <w:b/>
        </w:rPr>
        <w:t xml:space="preserve"> y</w:t>
      </w:r>
      <w:r w:rsidRPr="005F2D12">
        <w:rPr>
          <w:b/>
        </w:rPr>
        <w:t xml:space="preserve"> combatir</w:t>
      </w:r>
      <w:r w:rsidR="00BA728C" w:rsidRPr="00BA728C">
        <w:rPr>
          <w:b/>
        </w:rPr>
        <w:t xml:space="preserve"> </w:t>
      </w:r>
      <w:r w:rsidR="00BA728C">
        <w:rPr>
          <w:b/>
        </w:rPr>
        <w:t xml:space="preserve">todos los actos </w:t>
      </w:r>
      <w:r w:rsidR="00BA728C" w:rsidRPr="004A1EF9">
        <w:rPr>
          <w:b/>
        </w:rPr>
        <w:t>de violencia contra la mujer</w:t>
      </w:r>
      <w:r w:rsidR="00BA728C">
        <w:rPr>
          <w:b/>
        </w:rPr>
        <w:t xml:space="preserve"> e</w:t>
      </w:r>
      <w:r w:rsidR="00703406">
        <w:rPr>
          <w:b/>
        </w:rPr>
        <w:t xml:space="preserve"> investigar, procesar y </w:t>
      </w:r>
      <w:r w:rsidR="007456C0">
        <w:rPr>
          <w:b/>
        </w:rPr>
        <w:t>sancionar</w:t>
      </w:r>
      <w:r w:rsidR="00703406">
        <w:rPr>
          <w:b/>
        </w:rPr>
        <w:t xml:space="preserve"> con penas apropiadas a quienes sean responsables </w:t>
      </w:r>
      <w:r w:rsidR="00BA728C">
        <w:rPr>
          <w:b/>
        </w:rPr>
        <w:t>de tales actos. Asimismo, debe</w:t>
      </w:r>
      <w:r w:rsidR="004A1EF9">
        <w:rPr>
          <w:b/>
        </w:rPr>
        <w:t xml:space="preserve"> </w:t>
      </w:r>
      <w:r w:rsidR="00703406">
        <w:rPr>
          <w:b/>
        </w:rPr>
        <w:t xml:space="preserve">garantizar </w:t>
      </w:r>
      <w:r w:rsidR="004A1EF9">
        <w:rPr>
          <w:b/>
        </w:rPr>
        <w:t>qu</w:t>
      </w:r>
      <w:r w:rsidR="007E11AE" w:rsidRPr="004A1EF9">
        <w:rPr>
          <w:b/>
        </w:rPr>
        <w:t xml:space="preserve">e </w:t>
      </w:r>
      <w:r w:rsidR="009203FF" w:rsidRPr="004A1EF9">
        <w:rPr>
          <w:b/>
        </w:rPr>
        <w:t xml:space="preserve">todas </w:t>
      </w:r>
      <w:r w:rsidR="007E11AE" w:rsidRPr="004A1EF9">
        <w:rPr>
          <w:b/>
        </w:rPr>
        <w:t>las</w:t>
      </w:r>
      <w:r w:rsidR="008359DB" w:rsidRPr="004A1EF9">
        <w:rPr>
          <w:b/>
        </w:rPr>
        <w:t xml:space="preserve"> víctimas obtengan sin demora </w:t>
      </w:r>
      <w:r w:rsidR="001871CE" w:rsidRPr="004A1EF9">
        <w:rPr>
          <w:b/>
        </w:rPr>
        <w:t xml:space="preserve">una </w:t>
      </w:r>
      <w:r w:rsidR="008359DB" w:rsidRPr="004A1EF9">
        <w:rPr>
          <w:b/>
        </w:rPr>
        <w:t>reparación</w:t>
      </w:r>
      <w:r w:rsidR="009203FF" w:rsidRPr="004A1EF9">
        <w:rPr>
          <w:b/>
        </w:rPr>
        <w:t xml:space="preserve"> </w:t>
      </w:r>
      <w:r w:rsidR="008359DB" w:rsidRPr="004A1EF9">
        <w:rPr>
          <w:b/>
        </w:rPr>
        <w:t xml:space="preserve">y medios de protección adecuados, entre otras cosas poniendo a </w:t>
      </w:r>
      <w:r w:rsidR="007E11AE" w:rsidRPr="004A1EF9">
        <w:rPr>
          <w:b/>
        </w:rPr>
        <w:t xml:space="preserve">su </w:t>
      </w:r>
      <w:r w:rsidR="008359DB" w:rsidRPr="004A1EF9">
        <w:rPr>
          <w:b/>
        </w:rPr>
        <w:t xml:space="preserve">disposición un número suficiente de casas de abrigo en </w:t>
      </w:r>
      <w:r w:rsidR="00465EBF" w:rsidRPr="004A1EF9">
        <w:rPr>
          <w:b/>
        </w:rPr>
        <w:t>todo</w:t>
      </w:r>
      <w:r w:rsidR="008359DB" w:rsidRPr="004A1EF9">
        <w:rPr>
          <w:b/>
        </w:rPr>
        <w:t xml:space="preserve"> el país</w:t>
      </w:r>
      <w:r w:rsidR="003F4939" w:rsidRPr="004A1EF9">
        <w:rPr>
          <w:b/>
        </w:rPr>
        <w:t>.</w:t>
      </w:r>
      <w:r w:rsidR="00D04D8F" w:rsidRPr="00D04D8F">
        <w:rPr>
          <w:b/>
        </w:rPr>
        <w:t xml:space="preserve"> </w:t>
      </w:r>
    </w:p>
    <w:p w:rsidR="00722EED" w:rsidRDefault="00BD5798" w:rsidP="00BD5798">
      <w:pPr>
        <w:pStyle w:val="H23G"/>
      </w:pPr>
      <w:r>
        <w:tab/>
      </w:r>
      <w:r>
        <w:tab/>
      </w:r>
      <w:r w:rsidR="00722EED">
        <w:t>Interrupción voluntaria del embarazo</w:t>
      </w:r>
    </w:p>
    <w:p w:rsidR="00722EED" w:rsidRPr="000B6B14" w:rsidRDefault="00001A96" w:rsidP="00001A96">
      <w:pPr>
        <w:pStyle w:val="SingleTxtG"/>
        <w:rPr>
          <w:lang w:val="es-MX"/>
        </w:rPr>
      </w:pPr>
      <w:r w:rsidRPr="000B6B14">
        <w:t>10.</w:t>
      </w:r>
      <w:r w:rsidRPr="000B6B14">
        <w:tab/>
      </w:r>
      <w:r w:rsidR="00722EED" w:rsidRPr="00722EED">
        <w:rPr>
          <w:lang w:val="es-MX"/>
        </w:rPr>
        <w:t>El Comité acoge con satisfacción la afirmación del</w:t>
      </w:r>
      <w:r w:rsidR="00677999">
        <w:rPr>
          <w:lang w:val="es-MX"/>
        </w:rPr>
        <w:t xml:space="preserve"> Estado parte</w:t>
      </w:r>
      <w:r w:rsidR="00722EED" w:rsidRPr="00722EED">
        <w:rPr>
          <w:lang w:val="es-MX"/>
        </w:rPr>
        <w:t xml:space="preserve"> de que las disposiciones </w:t>
      </w:r>
      <w:r w:rsidR="00F643BF">
        <w:rPr>
          <w:lang w:val="es-MX"/>
        </w:rPr>
        <w:t>penales</w:t>
      </w:r>
      <w:r w:rsidR="00722EED" w:rsidRPr="00722EED">
        <w:rPr>
          <w:lang w:val="es-MX"/>
        </w:rPr>
        <w:t xml:space="preserve"> </w:t>
      </w:r>
      <w:r w:rsidR="00722EED">
        <w:rPr>
          <w:lang w:val="es-MX"/>
        </w:rPr>
        <w:t>relativas</w:t>
      </w:r>
      <w:r w:rsidR="00722EED" w:rsidRPr="00722EED">
        <w:rPr>
          <w:lang w:val="es-MX"/>
        </w:rPr>
        <w:t xml:space="preserve"> </w:t>
      </w:r>
      <w:r w:rsidR="00722EED">
        <w:rPr>
          <w:lang w:val="es-MX"/>
        </w:rPr>
        <w:t>a</w:t>
      </w:r>
      <w:r w:rsidR="00722EED" w:rsidRPr="00722EED">
        <w:rPr>
          <w:lang w:val="es-MX"/>
        </w:rPr>
        <w:t>l aborto no se aplican en la práctica</w:t>
      </w:r>
      <w:r w:rsidR="00B714AC">
        <w:rPr>
          <w:lang w:val="es-MX"/>
        </w:rPr>
        <w:t xml:space="preserve">. </w:t>
      </w:r>
      <w:r w:rsidR="00B714AC" w:rsidRPr="00716820">
        <w:rPr>
          <w:lang w:val="es-MX"/>
        </w:rPr>
        <w:t xml:space="preserve">Sin embargo, </w:t>
      </w:r>
      <w:r w:rsidR="00716820">
        <w:rPr>
          <w:lang w:val="es-MX"/>
        </w:rPr>
        <w:t xml:space="preserve">observa con preocupación </w:t>
      </w:r>
      <w:r w:rsidR="00B714AC" w:rsidRPr="0075659F">
        <w:rPr>
          <w:lang w:val="es-MX"/>
        </w:rPr>
        <w:t xml:space="preserve">que </w:t>
      </w:r>
      <w:r w:rsidR="0075659F" w:rsidRPr="0075659F">
        <w:rPr>
          <w:lang w:val="es-MX"/>
        </w:rPr>
        <w:t>el Código Penal aún criminali</w:t>
      </w:r>
      <w:r w:rsidR="00716820">
        <w:rPr>
          <w:lang w:val="es-MX"/>
        </w:rPr>
        <w:t>za</w:t>
      </w:r>
      <w:r w:rsidR="0075659F" w:rsidRPr="0075659F">
        <w:rPr>
          <w:lang w:val="es-MX"/>
        </w:rPr>
        <w:t xml:space="preserve"> la interrupción voluntaria del embarazo, salvo </w:t>
      </w:r>
      <w:r w:rsidR="0075659F">
        <w:rPr>
          <w:lang w:val="es-MX"/>
        </w:rPr>
        <w:t>cuando</w:t>
      </w:r>
      <w:r w:rsidR="0075659F" w:rsidRPr="0075659F">
        <w:rPr>
          <w:lang w:val="es-MX"/>
        </w:rPr>
        <w:t xml:space="preserve"> sea indispensable para salvar la vida de la mujer, </w:t>
      </w:r>
      <w:r w:rsidR="0075659F">
        <w:rPr>
          <w:lang w:val="es-MX"/>
        </w:rPr>
        <w:t>lo que</w:t>
      </w:r>
      <w:r w:rsidR="000B6B14">
        <w:rPr>
          <w:lang w:val="es-MX"/>
        </w:rPr>
        <w:t xml:space="preserve"> </w:t>
      </w:r>
      <w:r w:rsidR="0075659F" w:rsidRPr="006321CE">
        <w:rPr>
          <w:lang w:val="es-MX"/>
        </w:rPr>
        <w:t>lleva</w:t>
      </w:r>
      <w:r w:rsidR="0075659F" w:rsidRPr="0075659F">
        <w:t xml:space="preserve"> a las mujeres embarazadas a buscar servicios de aborto clandestinos que ponen en peligro su vida y su salud</w:t>
      </w:r>
      <w:r w:rsidR="0075659F" w:rsidRPr="0075659F">
        <w:rPr>
          <w:lang w:val="es-MX"/>
        </w:rPr>
        <w:t xml:space="preserve"> </w:t>
      </w:r>
      <w:r w:rsidR="00C67A0C">
        <w:rPr>
          <w:lang w:val="es-MX"/>
        </w:rPr>
        <w:t xml:space="preserve"> </w:t>
      </w:r>
      <w:r w:rsidR="00722EED" w:rsidRPr="0075659F">
        <w:rPr>
          <w:lang w:val="es-MX"/>
        </w:rPr>
        <w:t>(arts.</w:t>
      </w:r>
      <w:r w:rsidR="008B2CB2">
        <w:rPr>
          <w:lang w:val="es-MX"/>
        </w:rPr>
        <w:t xml:space="preserve"> 3,</w:t>
      </w:r>
      <w:r w:rsidR="00722EED" w:rsidRPr="0075659F">
        <w:rPr>
          <w:lang w:val="es-MX"/>
        </w:rPr>
        <w:t xml:space="preserve"> </w:t>
      </w:r>
      <w:r w:rsidR="00722EED" w:rsidRPr="000B6B14">
        <w:rPr>
          <w:lang w:val="es-MX"/>
        </w:rPr>
        <w:t xml:space="preserve">6 </w:t>
      </w:r>
      <w:r w:rsidR="0087765E">
        <w:rPr>
          <w:lang w:val="es-MX"/>
        </w:rPr>
        <w:t>y</w:t>
      </w:r>
      <w:r w:rsidR="0087765E" w:rsidRPr="000B6B14">
        <w:rPr>
          <w:lang w:val="es-MX"/>
        </w:rPr>
        <w:t xml:space="preserve"> </w:t>
      </w:r>
      <w:r w:rsidR="00722EED" w:rsidRPr="000B6B14">
        <w:rPr>
          <w:lang w:val="es-MX"/>
        </w:rPr>
        <w:t>7).</w:t>
      </w:r>
    </w:p>
    <w:p w:rsidR="0075659F" w:rsidRPr="0075659F" w:rsidRDefault="008B2CB2" w:rsidP="0075659F">
      <w:pPr>
        <w:pStyle w:val="SingleTxtG"/>
        <w:rPr>
          <w:lang w:val="es-MX"/>
        </w:rPr>
      </w:pPr>
      <w:r w:rsidRPr="008B2CB2">
        <w:rPr>
          <w:b/>
          <w:bCs/>
          <w:lang w:val="es-MX"/>
        </w:rPr>
        <w:t>A la luz de sus anteriores observaciones finales (CCPR/CO/71/VEN, para. 19), el Comité recomienda que el</w:t>
      </w:r>
      <w:r w:rsidR="0075659F" w:rsidRPr="0075659F">
        <w:rPr>
          <w:b/>
          <w:bCs/>
          <w:lang w:val="es-MX"/>
        </w:rPr>
        <w:t xml:space="preserve"> Estado parte </w:t>
      </w:r>
      <w:r>
        <w:rPr>
          <w:b/>
          <w:bCs/>
          <w:lang w:val="es-MX"/>
        </w:rPr>
        <w:t xml:space="preserve">enmiende </w:t>
      </w:r>
      <w:r w:rsidR="0075659F" w:rsidRPr="0075659F">
        <w:rPr>
          <w:b/>
          <w:bCs/>
          <w:lang w:val="es-MX"/>
        </w:rPr>
        <w:t xml:space="preserve">su legislación con el fin de </w:t>
      </w:r>
      <w:r w:rsidR="00D04D8F" w:rsidRPr="00D04D8F">
        <w:rPr>
          <w:b/>
          <w:bCs/>
          <w:lang w:val="es-MX"/>
        </w:rPr>
        <w:t>establecer excepciones a la prohibición general de todo aborto no terapéutico</w:t>
      </w:r>
      <w:r w:rsidR="0075659F" w:rsidRPr="0075659F">
        <w:rPr>
          <w:b/>
          <w:bCs/>
          <w:lang w:val="es-MX"/>
        </w:rPr>
        <w:t xml:space="preserve"> y </w:t>
      </w:r>
      <w:r w:rsidRPr="008B2CB2">
        <w:rPr>
          <w:b/>
          <w:bCs/>
          <w:lang w:val="es-MX"/>
        </w:rPr>
        <w:t>vel</w:t>
      </w:r>
      <w:r w:rsidR="00650B1E">
        <w:rPr>
          <w:b/>
          <w:bCs/>
          <w:lang w:val="es-MX"/>
        </w:rPr>
        <w:t>ar</w:t>
      </w:r>
      <w:r w:rsidRPr="008B2CB2">
        <w:rPr>
          <w:b/>
          <w:bCs/>
          <w:lang w:val="es-MX"/>
        </w:rPr>
        <w:t xml:space="preserve"> por que las mujeres no recurran a abortos clandestinos en condiciones inadecuadas que puedan poner en peligro su vida y su salud</w:t>
      </w:r>
      <w:r>
        <w:rPr>
          <w:b/>
          <w:bCs/>
          <w:lang w:val="es-MX"/>
        </w:rPr>
        <w:t xml:space="preserve">. Asimismo, le recomienda que adopte </w:t>
      </w:r>
      <w:r>
        <w:rPr>
          <w:b/>
          <w:bCs/>
          <w:lang w:val="es-MX"/>
        </w:rPr>
        <w:lastRenderedPageBreak/>
        <w:t xml:space="preserve">las medidas necesarias para </w:t>
      </w:r>
      <w:r w:rsidR="0075659F" w:rsidRPr="00D04D8F">
        <w:rPr>
          <w:b/>
          <w:bCs/>
          <w:lang w:val="es-MX"/>
        </w:rPr>
        <w:t xml:space="preserve">que </w:t>
      </w:r>
      <w:r w:rsidR="00FA514F" w:rsidRPr="00D04D8F">
        <w:rPr>
          <w:b/>
          <w:bCs/>
          <w:lang w:val="es-MX"/>
        </w:rPr>
        <w:t>se garantice</w:t>
      </w:r>
      <w:r w:rsidR="00425C0E" w:rsidRPr="00D04D8F">
        <w:rPr>
          <w:b/>
          <w:bCs/>
        </w:rPr>
        <w:t xml:space="preserve"> la prestación de servicios adecuados de salud sexual y reproductiva</w:t>
      </w:r>
      <w:r w:rsidR="0075659F" w:rsidRPr="00D04D8F">
        <w:rPr>
          <w:b/>
          <w:bCs/>
          <w:lang w:val="es-MX"/>
        </w:rPr>
        <w:t>.</w:t>
      </w:r>
    </w:p>
    <w:p w:rsidR="00BD5798" w:rsidRDefault="00722EED" w:rsidP="00BD5798">
      <w:pPr>
        <w:pStyle w:val="H23G"/>
      </w:pPr>
      <w:r>
        <w:tab/>
      </w:r>
      <w:r>
        <w:tab/>
      </w:r>
      <w:r w:rsidR="00BD5798">
        <w:t>Derecho a la vida</w:t>
      </w:r>
    </w:p>
    <w:p w:rsidR="00BD5798" w:rsidRDefault="00001A96" w:rsidP="00001A96">
      <w:pPr>
        <w:pStyle w:val="SingleTxtG"/>
      </w:pPr>
      <w:r>
        <w:t>11.</w:t>
      </w:r>
      <w:r>
        <w:tab/>
      </w:r>
      <w:r w:rsidR="00BD5798">
        <w:t>El Comité</w:t>
      </w:r>
      <w:r w:rsidR="00DD7CB8">
        <w:t xml:space="preserve">, </w:t>
      </w:r>
      <w:r w:rsidR="00A57368">
        <w:t xml:space="preserve">mientras toma nota de las acciones desplegadas por el Estado parte en materia de prevención del delito, </w:t>
      </w:r>
      <w:r w:rsidR="00BD5798">
        <w:t xml:space="preserve">nota con preocupación los informes </w:t>
      </w:r>
      <w:r w:rsidR="00A57368">
        <w:t xml:space="preserve">sobre </w:t>
      </w:r>
      <w:r w:rsidR="00BD5798">
        <w:t>un muy elevado número de muertes violentas en el Estado</w:t>
      </w:r>
      <w:r w:rsidR="009A0EBB">
        <w:t xml:space="preserve"> parte</w:t>
      </w:r>
      <w:r w:rsidR="00BD5798">
        <w:t xml:space="preserve">, incluyendo </w:t>
      </w:r>
      <w:r w:rsidR="00A23652">
        <w:t xml:space="preserve">casos presuntamente perpetrados por oficiales de mantenimiento del orden </w:t>
      </w:r>
      <w:r w:rsidR="009A0EBB">
        <w:t>(art. 6).</w:t>
      </w:r>
    </w:p>
    <w:p w:rsidR="009A0EBB" w:rsidRPr="00BD5798" w:rsidRDefault="00DD7CB8" w:rsidP="00991761">
      <w:pPr>
        <w:pStyle w:val="SingleTxtG"/>
      </w:pPr>
      <w:r>
        <w:rPr>
          <w:b/>
        </w:rPr>
        <w:t xml:space="preserve">El </w:t>
      </w:r>
      <w:r w:rsidR="009A0EBB" w:rsidRPr="009A0EBB">
        <w:rPr>
          <w:b/>
        </w:rPr>
        <w:t>Estado parte debe</w:t>
      </w:r>
      <w:r w:rsidR="00B339B3">
        <w:rPr>
          <w:b/>
        </w:rPr>
        <w:t xml:space="preserve"> </w:t>
      </w:r>
      <w:r w:rsidR="00991761">
        <w:rPr>
          <w:b/>
        </w:rPr>
        <w:t>r</w:t>
      </w:r>
      <w:r w:rsidR="009A0EBB" w:rsidRPr="009A0EBB">
        <w:rPr>
          <w:b/>
        </w:rPr>
        <w:t xml:space="preserve">edoblar sus esfuerzos con miras a prevenir y combatir </w:t>
      </w:r>
      <w:r w:rsidR="00503D66">
        <w:rPr>
          <w:b/>
        </w:rPr>
        <w:t>las</w:t>
      </w:r>
      <w:r w:rsidR="009A0EBB" w:rsidRPr="009A0EBB">
        <w:rPr>
          <w:b/>
        </w:rPr>
        <w:t xml:space="preserve"> </w:t>
      </w:r>
      <w:r w:rsidR="00C0105E">
        <w:rPr>
          <w:b/>
        </w:rPr>
        <w:t>muertes violentas</w:t>
      </w:r>
      <w:r w:rsidR="00991761">
        <w:rPr>
          <w:b/>
        </w:rPr>
        <w:t>, incluyendo la i</w:t>
      </w:r>
      <w:r w:rsidR="00B62BA9">
        <w:rPr>
          <w:b/>
        </w:rPr>
        <w:t>ntensifica</w:t>
      </w:r>
      <w:r w:rsidR="00991761">
        <w:rPr>
          <w:b/>
        </w:rPr>
        <w:t>ción</w:t>
      </w:r>
      <w:r w:rsidR="00B62BA9">
        <w:rPr>
          <w:b/>
        </w:rPr>
        <w:t xml:space="preserve"> </w:t>
      </w:r>
      <w:r w:rsidR="00991761">
        <w:rPr>
          <w:b/>
        </w:rPr>
        <w:t xml:space="preserve">de </w:t>
      </w:r>
      <w:r w:rsidR="00B62BA9">
        <w:rPr>
          <w:b/>
        </w:rPr>
        <w:t xml:space="preserve">las acciones </w:t>
      </w:r>
      <w:r w:rsidR="000F2724">
        <w:rPr>
          <w:b/>
        </w:rPr>
        <w:t>de desarme</w:t>
      </w:r>
      <w:r w:rsidR="003105A1">
        <w:rPr>
          <w:b/>
        </w:rPr>
        <w:t xml:space="preserve"> </w:t>
      </w:r>
      <w:r w:rsidR="003105A1" w:rsidRPr="00357584">
        <w:rPr>
          <w:b/>
        </w:rPr>
        <w:t>de la población civil</w:t>
      </w:r>
      <w:r w:rsidR="00991761">
        <w:rPr>
          <w:b/>
        </w:rPr>
        <w:t xml:space="preserve">. Debe también </w:t>
      </w:r>
      <w:r w:rsidR="00293915">
        <w:rPr>
          <w:b/>
        </w:rPr>
        <w:t>velar por</w:t>
      </w:r>
      <w:r w:rsidR="00991761" w:rsidRPr="009A0EBB">
        <w:rPr>
          <w:b/>
        </w:rPr>
        <w:t xml:space="preserve"> que tod</w:t>
      </w:r>
      <w:r w:rsidR="00991761">
        <w:rPr>
          <w:b/>
        </w:rPr>
        <w:t>o</w:t>
      </w:r>
      <w:r w:rsidR="00991761" w:rsidRPr="009A0EBB">
        <w:rPr>
          <w:b/>
        </w:rPr>
        <w:t>s l</w:t>
      </w:r>
      <w:r w:rsidR="00991761">
        <w:rPr>
          <w:b/>
        </w:rPr>
        <w:t>os</w:t>
      </w:r>
      <w:r w:rsidR="00991761" w:rsidRPr="009A0EBB">
        <w:rPr>
          <w:b/>
        </w:rPr>
        <w:t xml:space="preserve"> </w:t>
      </w:r>
      <w:r w:rsidR="00991761">
        <w:rPr>
          <w:b/>
        </w:rPr>
        <w:t xml:space="preserve">casos </w:t>
      </w:r>
      <w:r w:rsidR="00991761" w:rsidRPr="009A0EBB">
        <w:rPr>
          <w:b/>
        </w:rPr>
        <w:t xml:space="preserve">de </w:t>
      </w:r>
      <w:r w:rsidR="00A23652">
        <w:rPr>
          <w:b/>
        </w:rPr>
        <w:t>muertes violentas</w:t>
      </w:r>
      <w:r w:rsidR="00991761" w:rsidRPr="009A0EBB">
        <w:rPr>
          <w:b/>
        </w:rPr>
        <w:t xml:space="preserve"> </w:t>
      </w:r>
      <w:r w:rsidR="00991761">
        <w:rPr>
          <w:b/>
        </w:rPr>
        <w:t>sean investigado</w:t>
      </w:r>
      <w:r w:rsidR="00991761" w:rsidRPr="009A0EBB">
        <w:rPr>
          <w:b/>
        </w:rPr>
        <w:t>s de manera pronta, exhaustiva, independiente e imparcial y que los autores sean llevados ante la justicia y</w:t>
      </w:r>
      <w:r w:rsidR="009A35DC">
        <w:rPr>
          <w:b/>
        </w:rPr>
        <w:t xml:space="preserve"> debidamente</w:t>
      </w:r>
      <w:r w:rsidR="00991761" w:rsidRPr="009A0EBB">
        <w:rPr>
          <w:b/>
        </w:rPr>
        <w:t xml:space="preserve"> sancionados</w:t>
      </w:r>
      <w:r w:rsidR="002133CD">
        <w:rPr>
          <w:b/>
        </w:rPr>
        <w:t>.</w:t>
      </w:r>
    </w:p>
    <w:p w:rsidR="00E12E19" w:rsidRDefault="00F9261C" w:rsidP="00E12E19">
      <w:pPr>
        <w:pStyle w:val="H23G"/>
      </w:pPr>
      <w:r>
        <w:tab/>
      </w:r>
      <w:r>
        <w:tab/>
      </w:r>
      <w:r w:rsidR="00E12E19">
        <w:t>Condiciones de detención</w:t>
      </w:r>
      <w:bookmarkStart w:id="0" w:name="_GoBack"/>
      <w:bookmarkEnd w:id="0"/>
    </w:p>
    <w:p w:rsidR="00E12E19" w:rsidRDefault="00001A96" w:rsidP="00001A96">
      <w:pPr>
        <w:pStyle w:val="SingleTxtG"/>
      </w:pPr>
      <w:r>
        <w:t>12.</w:t>
      </w:r>
      <w:r>
        <w:tab/>
      </w:r>
      <w:r w:rsidR="00B755AA">
        <w:t>A</w:t>
      </w:r>
      <w:r w:rsidR="00E12E19">
        <w:t xml:space="preserve">l Comité </w:t>
      </w:r>
      <w:r w:rsidR="00B755AA">
        <w:t xml:space="preserve">le </w:t>
      </w:r>
      <w:r w:rsidR="007B5670">
        <w:t xml:space="preserve">preocupan </w:t>
      </w:r>
      <w:r w:rsidR="00F9529D">
        <w:t xml:space="preserve">las </w:t>
      </w:r>
      <w:r w:rsidR="00B755AA">
        <w:t>informaciones</w:t>
      </w:r>
      <w:r w:rsidR="00F9529D">
        <w:t xml:space="preserve"> contradictorias </w:t>
      </w:r>
      <w:r w:rsidR="00B91D42">
        <w:t>que ha recibido</w:t>
      </w:r>
      <w:r w:rsidR="00503D66">
        <w:t xml:space="preserve"> </w:t>
      </w:r>
      <w:r w:rsidR="00B755AA">
        <w:t>respecto</w:t>
      </w:r>
      <w:r w:rsidR="00E12E19">
        <w:t xml:space="preserve"> </w:t>
      </w:r>
      <w:r w:rsidR="00B755AA">
        <w:t>a</w:t>
      </w:r>
      <w:r w:rsidR="00693D9C">
        <w:t xml:space="preserve"> </w:t>
      </w:r>
      <w:r w:rsidR="00B755AA">
        <w:t>l</w:t>
      </w:r>
      <w:r w:rsidR="00693D9C">
        <w:t>os niveles de</w:t>
      </w:r>
      <w:r w:rsidR="00B755AA">
        <w:t xml:space="preserve"> </w:t>
      </w:r>
      <w:r w:rsidR="00E12E19">
        <w:t>hacinamiento</w:t>
      </w:r>
      <w:r w:rsidR="006A1404">
        <w:t xml:space="preserve"> </w:t>
      </w:r>
      <w:r w:rsidR="00693D9C">
        <w:t xml:space="preserve">y </w:t>
      </w:r>
      <w:r w:rsidR="002133CD">
        <w:t xml:space="preserve">las </w:t>
      </w:r>
      <w:r w:rsidR="00693D9C">
        <w:t>condiciones de detención</w:t>
      </w:r>
      <w:r w:rsidR="006542BD">
        <w:t>, particularmente en relación con el acceso a servicios de salud adecuados,</w:t>
      </w:r>
      <w:r w:rsidR="00693D9C">
        <w:t xml:space="preserve"> </w:t>
      </w:r>
      <w:r w:rsidR="006A1404">
        <w:t xml:space="preserve">en los </w:t>
      </w:r>
      <w:r w:rsidR="00B755AA">
        <w:t>lugares</w:t>
      </w:r>
      <w:r w:rsidR="006A1404">
        <w:t xml:space="preserve"> de privación de libertad. </w:t>
      </w:r>
      <w:r w:rsidR="00B755AA">
        <w:t xml:space="preserve">Asimismo, </w:t>
      </w:r>
      <w:r w:rsidR="00083E35">
        <w:t>le preocupan los informes relativos al elevado número de personas que se encontrarían privadas de libertad</w:t>
      </w:r>
      <w:r w:rsidR="00573B17">
        <w:t>, a veces por períodos muy prolongados,</w:t>
      </w:r>
      <w:r w:rsidR="00083E35">
        <w:t xml:space="preserve"> en </w:t>
      </w:r>
      <w:r w:rsidR="001A077F">
        <w:t>instalaciones</w:t>
      </w:r>
      <w:r w:rsidR="00573B17">
        <w:t xml:space="preserve"> policiales</w:t>
      </w:r>
      <w:r w:rsidR="00083E35">
        <w:t xml:space="preserve"> </w:t>
      </w:r>
      <w:r w:rsidR="00573B17">
        <w:t>que estarían diseñad</w:t>
      </w:r>
      <w:r w:rsidR="00FA514F">
        <w:t>a</w:t>
      </w:r>
      <w:r w:rsidR="00573B17">
        <w:t>s para albergar a las personas sólo por unos pocos días</w:t>
      </w:r>
      <w:r w:rsidR="00083E35">
        <w:t xml:space="preserve">. </w:t>
      </w:r>
      <w:r w:rsidR="00FA514F">
        <w:t>M</w:t>
      </w:r>
      <w:r w:rsidR="00A47B89">
        <w:t xml:space="preserve">ientras toma nota de la </w:t>
      </w:r>
      <w:r w:rsidR="00B8418B">
        <w:t xml:space="preserve">información proporcionada por </w:t>
      </w:r>
      <w:r w:rsidR="00677999">
        <w:t>el Estado parte</w:t>
      </w:r>
      <w:r w:rsidR="00A47B89">
        <w:t xml:space="preserve"> de que </w:t>
      </w:r>
      <w:r w:rsidR="00B8418B">
        <w:t xml:space="preserve">las cifras de víctimas de </w:t>
      </w:r>
      <w:r w:rsidR="0081415A">
        <w:t xml:space="preserve">violencia </w:t>
      </w:r>
      <w:r w:rsidR="00B8418B">
        <w:t xml:space="preserve">en los </w:t>
      </w:r>
      <w:r w:rsidR="009A7689">
        <w:t>lugares</w:t>
      </w:r>
      <w:r w:rsidR="00B8418B">
        <w:t xml:space="preserve"> de privación de libertad muestran una tendencia decreciente</w:t>
      </w:r>
      <w:r w:rsidR="00142A25">
        <w:t>,</w:t>
      </w:r>
      <w:r w:rsidR="0081415A">
        <w:t xml:space="preserve"> al Comité le preocupan los informes que señalan </w:t>
      </w:r>
      <w:r w:rsidR="00A47B89">
        <w:rPr>
          <w:lang w:val="es-MX"/>
        </w:rPr>
        <w:t>que continúa</w:t>
      </w:r>
      <w:r w:rsidR="00471C9C">
        <w:rPr>
          <w:lang w:val="es-MX"/>
        </w:rPr>
        <w:t>n</w:t>
      </w:r>
      <w:r w:rsidR="00A47B89">
        <w:rPr>
          <w:lang w:val="es-MX"/>
        </w:rPr>
        <w:t xml:space="preserve"> </w:t>
      </w:r>
      <w:r w:rsidR="0081415A">
        <w:rPr>
          <w:lang w:val="es-MX"/>
        </w:rPr>
        <w:t>registrándose</w:t>
      </w:r>
      <w:r w:rsidR="00A47B89">
        <w:rPr>
          <w:lang w:val="es-MX"/>
        </w:rPr>
        <w:t xml:space="preserve"> </w:t>
      </w:r>
      <w:r w:rsidR="00471C9C">
        <w:rPr>
          <w:lang w:val="es-MX"/>
        </w:rPr>
        <w:t>hechos</w:t>
      </w:r>
      <w:r w:rsidR="0081415A">
        <w:rPr>
          <w:lang w:val="es-MX"/>
        </w:rPr>
        <w:t xml:space="preserve"> de violencia</w:t>
      </w:r>
      <w:r w:rsidR="005C202A">
        <w:rPr>
          <w:lang w:val="es-MX"/>
        </w:rPr>
        <w:t xml:space="preserve"> </w:t>
      </w:r>
      <w:r w:rsidR="00E12E19">
        <w:t xml:space="preserve">(arts. </w:t>
      </w:r>
      <w:r w:rsidR="00FC5468">
        <w:t xml:space="preserve">6, </w:t>
      </w:r>
      <w:r w:rsidR="00E12E19">
        <w:t xml:space="preserve">9 y 10). </w:t>
      </w:r>
    </w:p>
    <w:p w:rsidR="00FC5468" w:rsidRDefault="00E12E19" w:rsidP="00FC5468">
      <w:pPr>
        <w:pStyle w:val="SingleTxtG"/>
        <w:rPr>
          <w:b/>
        </w:rPr>
      </w:pPr>
      <w:r w:rsidRPr="00E12E19">
        <w:rPr>
          <w:b/>
        </w:rPr>
        <w:t>El Estado parte</w:t>
      </w:r>
      <w:r w:rsidR="00A23652">
        <w:rPr>
          <w:b/>
        </w:rPr>
        <w:t xml:space="preserve"> debe</w:t>
      </w:r>
      <w:r w:rsidR="00FC5468">
        <w:rPr>
          <w:b/>
        </w:rPr>
        <w:t>:</w:t>
      </w:r>
    </w:p>
    <w:p w:rsidR="00771A6F" w:rsidRPr="00001A96" w:rsidRDefault="00001A96" w:rsidP="00001A96">
      <w:pPr>
        <w:pStyle w:val="SingleTxtG"/>
        <w:rPr>
          <w:b/>
        </w:rPr>
      </w:pPr>
      <w:r>
        <w:rPr>
          <w:b/>
        </w:rPr>
        <w:tab/>
      </w:r>
      <w:r w:rsidRPr="00001A96">
        <w:rPr>
          <w:b/>
        </w:rPr>
        <w:t>a)</w:t>
      </w:r>
      <w:r w:rsidRPr="00001A96">
        <w:rPr>
          <w:b/>
        </w:rPr>
        <w:tab/>
      </w:r>
      <w:r w:rsidR="00B57A75" w:rsidRPr="00001A96">
        <w:rPr>
          <w:b/>
        </w:rPr>
        <w:t>Increment</w:t>
      </w:r>
      <w:r w:rsidR="00A23652">
        <w:rPr>
          <w:b/>
        </w:rPr>
        <w:t>ar</w:t>
      </w:r>
      <w:r w:rsidR="00B57A75" w:rsidRPr="00001A96">
        <w:rPr>
          <w:b/>
        </w:rPr>
        <w:t xml:space="preserve"> sus esfuerzos </w:t>
      </w:r>
      <w:r w:rsidR="00FA514F" w:rsidRPr="00001A96">
        <w:rPr>
          <w:b/>
        </w:rPr>
        <w:t>para</w:t>
      </w:r>
      <w:r w:rsidR="00B57A75" w:rsidRPr="00001A96">
        <w:rPr>
          <w:b/>
        </w:rPr>
        <w:t xml:space="preserve"> </w:t>
      </w:r>
      <w:r w:rsidR="00A53C5B" w:rsidRPr="00001A96">
        <w:rPr>
          <w:b/>
        </w:rPr>
        <w:t xml:space="preserve">mejorar las condiciones de detención en todos los lugares donde haya personas privadas de libertad, entre otras cosas </w:t>
      </w:r>
      <w:r w:rsidR="00B57A75" w:rsidRPr="00001A96">
        <w:rPr>
          <w:b/>
        </w:rPr>
        <w:t>garantiza</w:t>
      </w:r>
      <w:r w:rsidR="00A53C5B" w:rsidRPr="00001A96">
        <w:rPr>
          <w:b/>
        </w:rPr>
        <w:t>ndo</w:t>
      </w:r>
      <w:r w:rsidR="00B57A75" w:rsidRPr="00001A96">
        <w:rPr>
          <w:b/>
        </w:rPr>
        <w:t xml:space="preserve"> que no haya </w:t>
      </w:r>
      <w:r w:rsidR="00E12E19" w:rsidRPr="00001A96">
        <w:rPr>
          <w:b/>
        </w:rPr>
        <w:t>hacinamiento</w:t>
      </w:r>
      <w:r w:rsidR="00A53C5B" w:rsidRPr="00001A96">
        <w:rPr>
          <w:b/>
        </w:rPr>
        <w:t>,</w:t>
      </w:r>
      <w:r w:rsidR="00E12E19" w:rsidRPr="00001A96">
        <w:rPr>
          <w:b/>
        </w:rPr>
        <w:t xml:space="preserve"> </w:t>
      </w:r>
      <w:r w:rsidR="00FA514F" w:rsidRPr="00001A96">
        <w:rPr>
          <w:b/>
        </w:rPr>
        <w:t>y vel</w:t>
      </w:r>
      <w:r w:rsidR="00A23652">
        <w:rPr>
          <w:b/>
        </w:rPr>
        <w:t>ar</w:t>
      </w:r>
      <w:r w:rsidR="00FA514F" w:rsidRPr="00001A96">
        <w:rPr>
          <w:b/>
        </w:rPr>
        <w:t xml:space="preserve"> por que en todos esos lugares se respete la dignidad de los privados de libertad, de conformidad con el artículo 10 del Pacto;</w:t>
      </w:r>
    </w:p>
    <w:p w:rsidR="00B2189E" w:rsidRPr="00001A96" w:rsidRDefault="00001A96" w:rsidP="00001A96">
      <w:pPr>
        <w:pStyle w:val="SingleTxtG"/>
        <w:rPr>
          <w:b/>
        </w:rPr>
      </w:pPr>
      <w:r>
        <w:rPr>
          <w:b/>
        </w:rPr>
        <w:tab/>
      </w:r>
      <w:r w:rsidRPr="00001A96">
        <w:rPr>
          <w:b/>
        </w:rPr>
        <w:t>b)</w:t>
      </w:r>
      <w:r w:rsidRPr="00001A96">
        <w:rPr>
          <w:b/>
        </w:rPr>
        <w:tab/>
      </w:r>
      <w:r w:rsidR="00B2189E" w:rsidRPr="00001A96">
        <w:rPr>
          <w:b/>
        </w:rPr>
        <w:t>Adopt</w:t>
      </w:r>
      <w:r w:rsidR="00A23652">
        <w:rPr>
          <w:b/>
        </w:rPr>
        <w:t>ar</w:t>
      </w:r>
      <w:r w:rsidR="00B2189E" w:rsidRPr="00001A96">
        <w:rPr>
          <w:b/>
        </w:rPr>
        <w:t xml:space="preserve"> medidas para que no haya personas privadas de libertad en </w:t>
      </w:r>
      <w:r w:rsidR="001A077F" w:rsidRPr="00001A96">
        <w:rPr>
          <w:b/>
        </w:rPr>
        <w:t>instalaciones</w:t>
      </w:r>
      <w:r w:rsidR="00B2189E" w:rsidRPr="00001A96">
        <w:rPr>
          <w:b/>
        </w:rPr>
        <w:t xml:space="preserve"> policiales por períodos prolongados de tiempo;</w:t>
      </w:r>
    </w:p>
    <w:p w:rsidR="00E12E19" w:rsidRPr="00001A96" w:rsidRDefault="00001A96" w:rsidP="00001A96">
      <w:pPr>
        <w:pStyle w:val="SingleTxtG"/>
        <w:rPr>
          <w:b/>
        </w:rPr>
      </w:pPr>
      <w:r>
        <w:rPr>
          <w:b/>
        </w:rPr>
        <w:tab/>
      </w:r>
      <w:r w:rsidRPr="00001A96">
        <w:rPr>
          <w:b/>
        </w:rPr>
        <w:t>c)</w:t>
      </w:r>
      <w:r w:rsidRPr="00001A96">
        <w:rPr>
          <w:b/>
        </w:rPr>
        <w:tab/>
      </w:r>
      <w:r w:rsidR="00FC5468" w:rsidRPr="00001A96">
        <w:rPr>
          <w:b/>
        </w:rPr>
        <w:t>Redobl</w:t>
      </w:r>
      <w:r w:rsidR="00A23652">
        <w:rPr>
          <w:b/>
        </w:rPr>
        <w:t>ar</w:t>
      </w:r>
      <w:r w:rsidR="00FC5468" w:rsidRPr="00001A96">
        <w:rPr>
          <w:b/>
        </w:rPr>
        <w:t xml:space="preserve"> sus esfuerzos </w:t>
      </w:r>
      <w:r w:rsidR="00FA514F" w:rsidRPr="00001A96">
        <w:rPr>
          <w:b/>
        </w:rPr>
        <w:t>par</w:t>
      </w:r>
      <w:r w:rsidR="00B57A75" w:rsidRPr="00001A96">
        <w:rPr>
          <w:b/>
        </w:rPr>
        <w:t>a</w:t>
      </w:r>
      <w:r w:rsidR="00FC5468" w:rsidRPr="00001A96">
        <w:rPr>
          <w:b/>
        </w:rPr>
        <w:t xml:space="preserve"> poner fin a la violencia en los centros de privación de libertad</w:t>
      </w:r>
      <w:r w:rsidR="00981D12" w:rsidRPr="00001A96">
        <w:rPr>
          <w:b/>
        </w:rPr>
        <w:t xml:space="preserve">, incluyendo mediante </w:t>
      </w:r>
      <w:r w:rsidR="00A23652">
        <w:rPr>
          <w:b/>
        </w:rPr>
        <w:t>la</w:t>
      </w:r>
      <w:r w:rsidR="00981D12" w:rsidRPr="00001A96">
        <w:rPr>
          <w:b/>
        </w:rPr>
        <w:t xml:space="preserve"> efectiv</w:t>
      </w:r>
      <w:r w:rsidR="00A23652">
        <w:rPr>
          <w:b/>
        </w:rPr>
        <w:t>a eliminación</w:t>
      </w:r>
      <w:r w:rsidR="00981D12" w:rsidRPr="00001A96">
        <w:rPr>
          <w:b/>
        </w:rPr>
        <w:t xml:space="preserve"> </w:t>
      </w:r>
      <w:r w:rsidR="00A23652">
        <w:rPr>
          <w:b/>
        </w:rPr>
        <w:t>de</w:t>
      </w:r>
      <w:r w:rsidR="00981D12" w:rsidRPr="00001A96">
        <w:rPr>
          <w:b/>
        </w:rPr>
        <w:t xml:space="preserve"> la tenencia de armas,</w:t>
      </w:r>
      <w:r w:rsidR="00FC5468" w:rsidRPr="00001A96">
        <w:rPr>
          <w:b/>
        </w:rPr>
        <w:t xml:space="preserve"> y asegur</w:t>
      </w:r>
      <w:r w:rsidR="00A23652">
        <w:rPr>
          <w:b/>
        </w:rPr>
        <w:t>ar</w:t>
      </w:r>
      <w:r w:rsidR="00FC5468" w:rsidRPr="00001A96">
        <w:rPr>
          <w:b/>
        </w:rPr>
        <w:t xml:space="preserve"> que tod</w:t>
      </w:r>
      <w:r w:rsidR="00B57A75" w:rsidRPr="00001A96">
        <w:rPr>
          <w:b/>
        </w:rPr>
        <w:t xml:space="preserve">os los casos de violencia </w:t>
      </w:r>
      <w:r w:rsidR="00FC5468" w:rsidRPr="00001A96">
        <w:rPr>
          <w:b/>
        </w:rPr>
        <w:t>sean investigad</w:t>
      </w:r>
      <w:r w:rsidR="00B57A75" w:rsidRPr="00001A96">
        <w:rPr>
          <w:b/>
        </w:rPr>
        <w:t>o</w:t>
      </w:r>
      <w:r w:rsidR="00FC5468" w:rsidRPr="00001A96">
        <w:rPr>
          <w:b/>
        </w:rPr>
        <w:t xml:space="preserve">s </w:t>
      </w:r>
      <w:r w:rsidR="00B57A75" w:rsidRPr="00001A96">
        <w:rPr>
          <w:b/>
        </w:rPr>
        <w:t xml:space="preserve">de manera </w:t>
      </w:r>
      <w:r w:rsidR="00FD26B3" w:rsidRPr="00001A96">
        <w:rPr>
          <w:b/>
        </w:rPr>
        <w:t xml:space="preserve">pronta, </w:t>
      </w:r>
      <w:r w:rsidR="00FC5468" w:rsidRPr="00001A96">
        <w:rPr>
          <w:b/>
        </w:rPr>
        <w:t>exhaustiva</w:t>
      </w:r>
      <w:r w:rsidR="00FD26B3" w:rsidRPr="00001A96">
        <w:rPr>
          <w:b/>
        </w:rPr>
        <w:t>, independiente</w:t>
      </w:r>
      <w:r w:rsidR="00FC5468" w:rsidRPr="00001A96">
        <w:rPr>
          <w:b/>
        </w:rPr>
        <w:t xml:space="preserve"> </w:t>
      </w:r>
      <w:r w:rsidR="00B57A75" w:rsidRPr="00001A96">
        <w:rPr>
          <w:b/>
        </w:rPr>
        <w:t>e imparcial</w:t>
      </w:r>
      <w:r w:rsidR="00FC5468" w:rsidRPr="00001A96">
        <w:rPr>
          <w:b/>
        </w:rPr>
        <w:t xml:space="preserve">, </w:t>
      </w:r>
      <w:r w:rsidR="00771A6F" w:rsidRPr="00001A96">
        <w:rPr>
          <w:b/>
        </w:rPr>
        <w:t xml:space="preserve">y </w:t>
      </w:r>
      <w:r w:rsidR="00FC5468" w:rsidRPr="00001A96">
        <w:rPr>
          <w:b/>
        </w:rPr>
        <w:t xml:space="preserve">que </w:t>
      </w:r>
      <w:r w:rsidR="00B57A75" w:rsidRPr="00001A96">
        <w:rPr>
          <w:b/>
        </w:rPr>
        <w:t xml:space="preserve">los autores sean llevados </w:t>
      </w:r>
      <w:r w:rsidR="00FC5468" w:rsidRPr="00001A96">
        <w:rPr>
          <w:b/>
        </w:rPr>
        <w:t>ante la justicia</w:t>
      </w:r>
      <w:r w:rsidR="00FD26B3" w:rsidRPr="00001A96">
        <w:rPr>
          <w:b/>
        </w:rPr>
        <w:t xml:space="preserve"> y debidamente sancionados</w:t>
      </w:r>
      <w:r w:rsidR="00771A6F" w:rsidRPr="00001A96">
        <w:rPr>
          <w:b/>
        </w:rPr>
        <w:t>.</w:t>
      </w:r>
    </w:p>
    <w:p w:rsidR="0081415A" w:rsidRDefault="00E12E19" w:rsidP="00E12E19">
      <w:pPr>
        <w:pStyle w:val="H23G"/>
      </w:pPr>
      <w:r>
        <w:tab/>
      </w:r>
      <w:r>
        <w:tab/>
      </w:r>
      <w:r w:rsidR="0081415A">
        <w:t>Prisión preventiva</w:t>
      </w:r>
    </w:p>
    <w:p w:rsidR="001C25D4" w:rsidRDefault="00001A96" w:rsidP="00001A96">
      <w:pPr>
        <w:pStyle w:val="SingleTxtG"/>
      </w:pPr>
      <w:r>
        <w:t>13.</w:t>
      </w:r>
      <w:r>
        <w:tab/>
      </w:r>
      <w:r w:rsidR="00305FD1">
        <w:t>E</w:t>
      </w:r>
      <w:r w:rsidR="001C25D4">
        <w:t xml:space="preserve">l Comité </w:t>
      </w:r>
      <w:r w:rsidR="001C25D4" w:rsidRPr="001C25D4">
        <w:t xml:space="preserve"> </w:t>
      </w:r>
      <w:r w:rsidR="00305FD1">
        <w:t xml:space="preserve">nota con </w:t>
      </w:r>
      <w:r w:rsidR="001C25D4" w:rsidRPr="001C25D4">
        <w:t>preocupa</w:t>
      </w:r>
      <w:r w:rsidR="00305FD1">
        <w:t>ción</w:t>
      </w:r>
      <w:r w:rsidR="001C25D4" w:rsidRPr="001C25D4">
        <w:t xml:space="preserve"> que </w:t>
      </w:r>
      <w:r w:rsidR="00305FD1">
        <w:t xml:space="preserve">hasta 2014 </w:t>
      </w:r>
      <w:r w:rsidR="001C25D4" w:rsidRPr="001C25D4">
        <w:t xml:space="preserve">más del 60 por ciento de las personas privadas de libertad </w:t>
      </w:r>
      <w:r w:rsidR="001C25D4">
        <w:t xml:space="preserve">se </w:t>
      </w:r>
      <w:r w:rsidR="00585BEE">
        <w:t>encontra</w:t>
      </w:r>
      <w:r w:rsidR="00305FD1">
        <w:t>ba</w:t>
      </w:r>
      <w:r w:rsidR="001C25D4">
        <w:t xml:space="preserve"> en prisión preventiva</w:t>
      </w:r>
      <w:r w:rsidR="00A968F7">
        <w:t xml:space="preserve"> (CCPR/C/VEN/Q/4/Add.1, para. 164)</w:t>
      </w:r>
      <w:r w:rsidR="0034430D">
        <w:t xml:space="preserve"> </w:t>
      </w:r>
      <w:r w:rsidR="00305FD1">
        <w:t xml:space="preserve">y lamenta no haber recibido información desagregada al respecto </w:t>
      </w:r>
      <w:r w:rsidR="0034430D">
        <w:t>(art. 9</w:t>
      </w:r>
      <w:r w:rsidR="001C25D4">
        <w:t>)</w:t>
      </w:r>
      <w:r w:rsidR="001C25D4" w:rsidRPr="001C25D4">
        <w:t>.</w:t>
      </w:r>
    </w:p>
    <w:p w:rsidR="001C25D4" w:rsidRPr="001C25D4" w:rsidRDefault="001C25D4" w:rsidP="001C25D4">
      <w:pPr>
        <w:pStyle w:val="SingleTxtG"/>
      </w:pPr>
      <w:r w:rsidRPr="001C25D4">
        <w:rPr>
          <w:b/>
          <w:bCs/>
        </w:rPr>
        <w:t xml:space="preserve">El Estado parte debe </w:t>
      </w:r>
      <w:r w:rsidR="00AD6B70">
        <w:rPr>
          <w:b/>
          <w:bCs/>
        </w:rPr>
        <w:t>incrementar</w:t>
      </w:r>
      <w:r w:rsidR="005C202A">
        <w:rPr>
          <w:b/>
          <w:bCs/>
        </w:rPr>
        <w:t xml:space="preserve"> sus esfuerzos con miras a </w:t>
      </w:r>
      <w:r w:rsidR="002C6BDB">
        <w:rPr>
          <w:b/>
          <w:bCs/>
        </w:rPr>
        <w:t xml:space="preserve">reducir </w:t>
      </w:r>
      <w:r w:rsidR="00AD6B70">
        <w:rPr>
          <w:b/>
          <w:bCs/>
        </w:rPr>
        <w:t xml:space="preserve">el </w:t>
      </w:r>
      <w:r w:rsidR="002C6BDB">
        <w:rPr>
          <w:b/>
          <w:bCs/>
        </w:rPr>
        <w:t xml:space="preserve">elevado </w:t>
      </w:r>
      <w:r w:rsidR="00083E35">
        <w:rPr>
          <w:b/>
          <w:bCs/>
        </w:rPr>
        <w:t>porcentaje</w:t>
      </w:r>
      <w:r w:rsidR="002C6BDB">
        <w:rPr>
          <w:b/>
          <w:bCs/>
        </w:rPr>
        <w:t xml:space="preserve"> de personas en prisión preventiva</w:t>
      </w:r>
      <w:r w:rsidR="00AD6B70">
        <w:rPr>
          <w:b/>
          <w:bCs/>
        </w:rPr>
        <w:t xml:space="preserve">. En particular, debe </w:t>
      </w:r>
      <w:r w:rsidR="002E4A0D">
        <w:rPr>
          <w:b/>
          <w:bCs/>
        </w:rPr>
        <w:t xml:space="preserve">adoptar las medidas necesarias para garantizar </w:t>
      </w:r>
      <w:r w:rsidR="00083E35">
        <w:rPr>
          <w:b/>
          <w:bCs/>
        </w:rPr>
        <w:t xml:space="preserve">que la </w:t>
      </w:r>
      <w:r w:rsidR="00AD6B70">
        <w:rPr>
          <w:b/>
          <w:bCs/>
        </w:rPr>
        <w:t>prisión preventiva</w:t>
      </w:r>
      <w:r w:rsidR="00083E35">
        <w:rPr>
          <w:b/>
          <w:bCs/>
        </w:rPr>
        <w:t xml:space="preserve"> </w:t>
      </w:r>
      <w:r w:rsidR="0034430D">
        <w:rPr>
          <w:b/>
          <w:bCs/>
        </w:rPr>
        <w:t xml:space="preserve">no sea la regla general </w:t>
      </w:r>
      <w:r w:rsidR="00083E35">
        <w:rPr>
          <w:b/>
          <w:bCs/>
        </w:rPr>
        <w:t xml:space="preserve">y que en la práctica se priorice </w:t>
      </w:r>
      <w:r w:rsidRPr="001C25D4">
        <w:rPr>
          <w:b/>
          <w:bCs/>
        </w:rPr>
        <w:t xml:space="preserve">la imposición de medidas alternativas a la </w:t>
      </w:r>
      <w:r w:rsidR="002C6BDB">
        <w:rPr>
          <w:b/>
          <w:bCs/>
        </w:rPr>
        <w:t>misma</w:t>
      </w:r>
      <w:r w:rsidR="00AD6B70">
        <w:rPr>
          <w:b/>
          <w:bCs/>
        </w:rPr>
        <w:t>.</w:t>
      </w:r>
      <w:r w:rsidR="00956A3C">
        <w:rPr>
          <w:b/>
          <w:bCs/>
        </w:rPr>
        <w:t xml:space="preserve"> </w:t>
      </w:r>
      <w:r w:rsidR="00950842">
        <w:rPr>
          <w:b/>
          <w:bCs/>
        </w:rPr>
        <w:t>Al respecto, e</w:t>
      </w:r>
      <w:r w:rsidR="00000872">
        <w:rPr>
          <w:b/>
          <w:bCs/>
        </w:rPr>
        <w:t xml:space="preserve">l Comité </w:t>
      </w:r>
      <w:r w:rsidR="00956A3C">
        <w:rPr>
          <w:b/>
          <w:bCs/>
        </w:rPr>
        <w:t xml:space="preserve">desea traer a la atención del Estado parte </w:t>
      </w:r>
      <w:r w:rsidR="00AA5E3C">
        <w:rPr>
          <w:b/>
          <w:bCs/>
        </w:rPr>
        <w:t xml:space="preserve">el párrafo 38 de </w:t>
      </w:r>
      <w:r w:rsidR="00956A3C">
        <w:rPr>
          <w:b/>
          <w:bCs/>
        </w:rPr>
        <w:t xml:space="preserve">su Observación general </w:t>
      </w:r>
      <w:r w:rsidR="00956A3C" w:rsidRPr="00956A3C">
        <w:rPr>
          <w:b/>
          <w:bCs/>
        </w:rPr>
        <w:t xml:space="preserve">Nº </w:t>
      </w:r>
      <w:r w:rsidR="00AA5E3C">
        <w:rPr>
          <w:b/>
          <w:bCs/>
        </w:rPr>
        <w:t>35</w:t>
      </w:r>
      <w:r w:rsidR="00956A3C" w:rsidRPr="00956A3C">
        <w:rPr>
          <w:b/>
          <w:bCs/>
        </w:rPr>
        <w:t xml:space="preserve"> (</w:t>
      </w:r>
      <w:r w:rsidR="00AA5E3C">
        <w:rPr>
          <w:b/>
          <w:bCs/>
        </w:rPr>
        <w:t>2014</w:t>
      </w:r>
      <w:r w:rsidR="00956A3C" w:rsidRPr="00956A3C">
        <w:rPr>
          <w:b/>
          <w:bCs/>
        </w:rPr>
        <w:t>) sobre</w:t>
      </w:r>
      <w:r w:rsidR="00956A3C">
        <w:rPr>
          <w:b/>
          <w:bCs/>
        </w:rPr>
        <w:t xml:space="preserve"> el </w:t>
      </w:r>
      <w:r w:rsidR="00956A3C" w:rsidRPr="00956A3C">
        <w:rPr>
          <w:b/>
          <w:bCs/>
          <w:lang w:val="es-ES_tradnl"/>
        </w:rPr>
        <w:t>artículo 9</w:t>
      </w:r>
      <w:r w:rsidR="00AA5E3C">
        <w:rPr>
          <w:b/>
          <w:bCs/>
          <w:lang w:val="es-ES_tradnl"/>
        </w:rPr>
        <w:t xml:space="preserve"> del Pacto (libertad y seguridad personales)</w:t>
      </w:r>
      <w:r w:rsidR="00956A3C">
        <w:rPr>
          <w:b/>
          <w:bCs/>
          <w:lang w:val="es-ES_tradnl"/>
        </w:rPr>
        <w:t>.</w:t>
      </w:r>
    </w:p>
    <w:p w:rsidR="0028122F" w:rsidRDefault="00A3257F" w:rsidP="00E12E19">
      <w:pPr>
        <w:pStyle w:val="H23G"/>
      </w:pPr>
      <w:r>
        <w:lastRenderedPageBreak/>
        <w:tab/>
      </w:r>
      <w:r w:rsidR="00E12E19">
        <w:tab/>
      </w:r>
      <w:r w:rsidR="0028122F">
        <w:t xml:space="preserve">Observancia de los derechos humanos </w:t>
      </w:r>
      <w:r w:rsidR="000D77E4">
        <w:t xml:space="preserve">en el </w:t>
      </w:r>
      <w:r w:rsidR="000B68A3">
        <w:t>contexto</w:t>
      </w:r>
      <w:r w:rsidR="000D77E4">
        <w:t xml:space="preserve"> de</w:t>
      </w:r>
      <w:r w:rsidR="00510172">
        <w:t xml:space="preserve"> manifestaciones</w:t>
      </w:r>
    </w:p>
    <w:p w:rsidR="00510172" w:rsidRPr="00FE68B8" w:rsidRDefault="00001A96" w:rsidP="00001A96">
      <w:pPr>
        <w:pStyle w:val="SingleTxtG"/>
        <w:ind w:right="1133"/>
      </w:pPr>
      <w:r w:rsidRPr="00FE68B8">
        <w:t>14.</w:t>
      </w:r>
      <w:r w:rsidRPr="00FE68B8">
        <w:tab/>
      </w:r>
      <w:r w:rsidR="0028122F">
        <w:t xml:space="preserve">El Comité nota con preocupación los informes </w:t>
      </w:r>
      <w:r w:rsidR="00510172">
        <w:t>relativo</w:t>
      </w:r>
      <w:r w:rsidR="0028122F">
        <w:t xml:space="preserve">s a violaciones a los derechos humanos </w:t>
      </w:r>
      <w:r w:rsidR="003B7A06">
        <w:t xml:space="preserve">presuntamente perpetradas </w:t>
      </w:r>
      <w:r w:rsidR="0028122F">
        <w:t xml:space="preserve">en el </w:t>
      </w:r>
      <w:r w:rsidR="000B68A3">
        <w:t>contexto</w:t>
      </w:r>
      <w:r w:rsidR="0028122F">
        <w:t xml:space="preserve"> de </w:t>
      </w:r>
      <w:r w:rsidR="00510172">
        <w:t>manifestaciones</w:t>
      </w:r>
      <w:r w:rsidR="00200D6C">
        <w:t>.</w:t>
      </w:r>
      <w:r w:rsidR="00D137A0">
        <w:t xml:space="preserve"> </w:t>
      </w:r>
      <w:r w:rsidR="00EC596C">
        <w:t>Al respecto, y si bien</w:t>
      </w:r>
      <w:r w:rsidR="000D77E4">
        <w:t xml:space="preserve"> tiene en cuenta la información de que</w:t>
      </w:r>
      <w:r w:rsidR="00DB62CA">
        <w:t xml:space="preserve"> algunos manifestantes habrían recurrido a la violencia</w:t>
      </w:r>
      <w:r w:rsidR="000D77E4">
        <w:t>, le</w:t>
      </w:r>
      <w:r w:rsidR="00200D6C">
        <w:t xml:space="preserve"> preocupan </w:t>
      </w:r>
      <w:r w:rsidR="000D77E4">
        <w:t xml:space="preserve">los numerosos </w:t>
      </w:r>
      <w:r w:rsidR="00200D6C">
        <w:t xml:space="preserve">informes relativos a las violaciones </w:t>
      </w:r>
      <w:r w:rsidR="00DB62CA">
        <w:t xml:space="preserve">a los derechos humanos </w:t>
      </w:r>
      <w:r w:rsidR="00200D6C">
        <w:t xml:space="preserve">que se habrían perpetrado </w:t>
      </w:r>
      <w:r w:rsidR="00D137A0">
        <w:t xml:space="preserve">en el </w:t>
      </w:r>
      <w:r w:rsidR="000B68A3">
        <w:t>contexto</w:t>
      </w:r>
      <w:r w:rsidR="00D137A0">
        <w:t xml:space="preserve"> de </w:t>
      </w:r>
      <w:r w:rsidR="00DB62CA" w:rsidRPr="00DB62CA">
        <w:t>las manifestaciones que tuvieron lugar durante los primeros meses de 2014</w:t>
      </w:r>
      <w:r w:rsidR="000B68A3">
        <w:t xml:space="preserve">, </w:t>
      </w:r>
      <w:r w:rsidR="000F2724">
        <w:t>incluyendo</w:t>
      </w:r>
      <w:r w:rsidR="000B41D1">
        <w:t xml:space="preserve"> </w:t>
      </w:r>
      <w:r w:rsidR="00815E45" w:rsidRPr="006321CE">
        <w:t>casos</w:t>
      </w:r>
      <w:r w:rsidR="00EC596C">
        <w:t xml:space="preserve"> de</w:t>
      </w:r>
      <w:r w:rsidR="003B7A06">
        <w:t xml:space="preserve"> </w:t>
      </w:r>
      <w:r w:rsidR="00510172">
        <w:t xml:space="preserve">uso </w:t>
      </w:r>
      <w:r w:rsidR="0028122F">
        <w:t xml:space="preserve">excesivo </w:t>
      </w:r>
      <w:r w:rsidR="00A448D4">
        <w:t xml:space="preserve">y desproporcionado </w:t>
      </w:r>
      <w:r w:rsidR="000B68A3">
        <w:t>de la fuerza</w:t>
      </w:r>
      <w:r w:rsidR="00EC596C">
        <w:t>,</w:t>
      </w:r>
      <w:r w:rsidR="00200D6C">
        <w:t xml:space="preserve"> </w:t>
      </w:r>
      <w:r w:rsidR="00D137A0">
        <w:t xml:space="preserve">tortura </w:t>
      </w:r>
      <w:r w:rsidR="00815E45">
        <w:t>o</w:t>
      </w:r>
      <w:r w:rsidR="00D137A0">
        <w:t xml:space="preserve"> malos</w:t>
      </w:r>
      <w:r w:rsidR="000D77E4">
        <w:t xml:space="preserve"> tratos</w:t>
      </w:r>
      <w:r w:rsidR="00EC596C">
        <w:t>,</w:t>
      </w:r>
      <w:r w:rsidR="00200D6C">
        <w:t xml:space="preserve"> detenciones arbitrarias</w:t>
      </w:r>
      <w:r w:rsidR="00EC596C">
        <w:t>,</w:t>
      </w:r>
      <w:r w:rsidR="00D869D5">
        <w:t xml:space="preserve"> </w:t>
      </w:r>
      <w:r w:rsidR="00237410">
        <w:t xml:space="preserve">e </w:t>
      </w:r>
      <w:r w:rsidR="00510172">
        <w:t xml:space="preserve">inobservancia de </w:t>
      </w:r>
      <w:r w:rsidR="007578ED">
        <w:t xml:space="preserve">las </w:t>
      </w:r>
      <w:r w:rsidR="000F7D10">
        <w:t>salvaguardias legales</w:t>
      </w:r>
      <w:r w:rsidR="007578ED">
        <w:t xml:space="preserve"> fundamentales</w:t>
      </w:r>
      <w:r w:rsidR="00237410" w:rsidRPr="00BD6AEF">
        <w:t>.</w:t>
      </w:r>
      <w:r w:rsidR="00200D6C" w:rsidRPr="00BD6AEF">
        <w:t xml:space="preserve"> </w:t>
      </w:r>
      <w:r w:rsidR="008E5391">
        <w:t xml:space="preserve">El Comité, </w:t>
      </w:r>
      <w:r w:rsidR="0064627E">
        <w:t xml:space="preserve">mientras toma nota de la información </w:t>
      </w:r>
      <w:r w:rsidR="00074C69">
        <w:t>proporcionada</w:t>
      </w:r>
      <w:r w:rsidR="0064627E">
        <w:t xml:space="preserve"> por el Estado parte respecto a las investigaciones </w:t>
      </w:r>
      <w:r w:rsidR="002133CD">
        <w:t xml:space="preserve">que están </w:t>
      </w:r>
      <w:r w:rsidR="000F2724">
        <w:t>llevándose</w:t>
      </w:r>
      <w:r w:rsidR="0064627E">
        <w:t xml:space="preserve"> a cabo, </w:t>
      </w:r>
      <w:r w:rsidR="006E3593">
        <w:t>observa</w:t>
      </w:r>
      <w:r w:rsidR="0064627E">
        <w:t xml:space="preserve"> con preocupación que </w:t>
      </w:r>
      <w:r w:rsidR="000D77E4" w:rsidRPr="000D77E4">
        <w:t xml:space="preserve">hasta la fecha </w:t>
      </w:r>
      <w:r w:rsidR="0064627E" w:rsidRPr="000D77E4">
        <w:t>sólo se</w:t>
      </w:r>
      <w:r w:rsidR="00283DAE" w:rsidRPr="000D77E4">
        <w:t xml:space="preserve"> </w:t>
      </w:r>
      <w:r w:rsidR="00D86748">
        <w:t xml:space="preserve">ha </w:t>
      </w:r>
      <w:r w:rsidR="0064627E" w:rsidRPr="000D77E4">
        <w:t xml:space="preserve">condenado </w:t>
      </w:r>
      <w:r w:rsidR="000D77E4">
        <w:t xml:space="preserve">a siete </w:t>
      </w:r>
      <w:r w:rsidR="008E5391">
        <w:t>funcionarios</w:t>
      </w:r>
      <w:r w:rsidR="00C17C3C" w:rsidRPr="00FE68B8">
        <w:t>. Asimismo, le</w:t>
      </w:r>
      <w:r w:rsidR="00372EBE" w:rsidRPr="00FE68B8">
        <w:t xml:space="preserve"> </w:t>
      </w:r>
      <w:r w:rsidR="00C17C3C" w:rsidRPr="00FE68B8">
        <w:t>preocupa</w:t>
      </w:r>
      <w:r w:rsidR="00EC4C56" w:rsidRPr="00FE68B8">
        <w:t>n</w:t>
      </w:r>
      <w:r w:rsidR="00C17C3C" w:rsidRPr="00FE68B8">
        <w:t xml:space="preserve"> </w:t>
      </w:r>
      <w:r w:rsidR="00EC4C56" w:rsidRPr="00FE68B8">
        <w:t xml:space="preserve">los informes relativos a la </w:t>
      </w:r>
      <w:r w:rsidR="00CD2954" w:rsidRPr="00FE68B8">
        <w:t xml:space="preserve">participación de efectivos militares en el control de reuniones públicas y manifestaciones </w:t>
      </w:r>
      <w:r w:rsidR="0064627E" w:rsidRPr="00FE68B8">
        <w:t xml:space="preserve">(arts. </w:t>
      </w:r>
      <w:r w:rsidR="0064627E" w:rsidRPr="00BD6AEF">
        <w:t>2, 6, 7, 9, 10, 14,</w:t>
      </w:r>
      <w:r w:rsidR="0064627E" w:rsidRPr="00FE68B8">
        <w:t xml:space="preserve"> 19 y 21).</w:t>
      </w:r>
    </w:p>
    <w:p w:rsidR="00876523" w:rsidRPr="009D26CE" w:rsidRDefault="00237410" w:rsidP="00876523">
      <w:pPr>
        <w:pStyle w:val="SingleTxtG"/>
        <w:rPr>
          <w:b/>
        </w:rPr>
      </w:pPr>
      <w:r>
        <w:rPr>
          <w:b/>
        </w:rPr>
        <w:t>E</w:t>
      </w:r>
      <w:r w:rsidR="009D26CE" w:rsidRPr="009D26CE">
        <w:rPr>
          <w:b/>
        </w:rPr>
        <w:t xml:space="preserve">l </w:t>
      </w:r>
      <w:r w:rsidR="0014671E" w:rsidRPr="009D26CE">
        <w:rPr>
          <w:b/>
        </w:rPr>
        <w:t>Estado parte debe</w:t>
      </w:r>
      <w:r w:rsidR="00876523" w:rsidRPr="009D26CE">
        <w:rPr>
          <w:b/>
        </w:rPr>
        <w:t>:</w:t>
      </w:r>
    </w:p>
    <w:p w:rsidR="00262EB6" w:rsidRPr="008F762B" w:rsidRDefault="008F762B" w:rsidP="008F762B">
      <w:pPr>
        <w:pStyle w:val="SingleTxtG"/>
        <w:rPr>
          <w:b/>
        </w:rPr>
      </w:pPr>
      <w:r>
        <w:rPr>
          <w:b/>
        </w:rPr>
        <w:tab/>
        <w:t>a)</w:t>
      </w:r>
      <w:r>
        <w:rPr>
          <w:b/>
        </w:rPr>
        <w:tab/>
      </w:r>
      <w:r w:rsidR="00262EB6" w:rsidRPr="008F762B">
        <w:rPr>
          <w:b/>
        </w:rPr>
        <w:t xml:space="preserve">Seguir adoptando medidas para prevenir y eliminar efectivamente el uso excesivo de la fuerza por los miembros de las fuerzas del orden, </w:t>
      </w:r>
      <w:r w:rsidR="00A24289" w:rsidRPr="008F762B">
        <w:rPr>
          <w:b/>
        </w:rPr>
        <w:t xml:space="preserve">especialmente en el contexto de manifestaciones, </w:t>
      </w:r>
      <w:r w:rsidR="00262EB6" w:rsidRPr="008F762B">
        <w:rPr>
          <w:b/>
        </w:rPr>
        <w:t xml:space="preserve">entre otras cosas reforzando </w:t>
      </w:r>
      <w:r w:rsidR="002133CD" w:rsidRPr="008F762B">
        <w:rPr>
          <w:b/>
        </w:rPr>
        <w:t>la</w:t>
      </w:r>
      <w:r w:rsidR="00262EB6" w:rsidRPr="008F762B">
        <w:rPr>
          <w:b/>
        </w:rPr>
        <w:t xml:space="preserve"> capacitación en materia de derechos humanos</w:t>
      </w:r>
      <w:r w:rsidR="00BD18C7" w:rsidRPr="008F762B">
        <w:rPr>
          <w:b/>
        </w:rPr>
        <w:t xml:space="preserve"> </w:t>
      </w:r>
      <w:r w:rsidR="00262EB6" w:rsidRPr="008F762B">
        <w:rPr>
          <w:b/>
        </w:rPr>
        <w:t xml:space="preserve">y </w:t>
      </w:r>
      <w:r w:rsidR="00BD18C7" w:rsidRPr="008F762B">
        <w:rPr>
          <w:b/>
        </w:rPr>
        <w:t>uso adecuado de la fuerza</w:t>
      </w:r>
      <w:r w:rsidR="00A24289" w:rsidRPr="008F762B">
        <w:rPr>
          <w:b/>
        </w:rPr>
        <w:t>;</w:t>
      </w:r>
    </w:p>
    <w:p w:rsidR="00876523" w:rsidRPr="008F762B" w:rsidRDefault="008F762B" w:rsidP="008F762B">
      <w:pPr>
        <w:pStyle w:val="SingleTxtG"/>
        <w:rPr>
          <w:b/>
        </w:rPr>
      </w:pPr>
      <w:r>
        <w:rPr>
          <w:b/>
        </w:rPr>
        <w:tab/>
        <w:t>b)</w:t>
      </w:r>
      <w:r>
        <w:rPr>
          <w:b/>
        </w:rPr>
        <w:tab/>
      </w:r>
      <w:r w:rsidR="00BD18C7" w:rsidRPr="008F762B">
        <w:rPr>
          <w:b/>
        </w:rPr>
        <w:t>G</w:t>
      </w:r>
      <w:r w:rsidR="00876523" w:rsidRPr="008F762B">
        <w:rPr>
          <w:b/>
        </w:rPr>
        <w:t xml:space="preserve">arantizar que todas las violaciones </w:t>
      </w:r>
      <w:r w:rsidR="008A5706" w:rsidRPr="008F762B">
        <w:rPr>
          <w:b/>
        </w:rPr>
        <w:t>a</w:t>
      </w:r>
      <w:r w:rsidR="00876523" w:rsidRPr="008F762B">
        <w:rPr>
          <w:b/>
        </w:rPr>
        <w:t xml:space="preserve"> los derechos humanos</w:t>
      </w:r>
      <w:r w:rsidR="003B7A06" w:rsidRPr="008F762B">
        <w:rPr>
          <w:b/>
        </w:rPr>
        <w:t xml:space="preserve">, incluso aquellas </w:t>
      </w:r>
      <w:r w:rsidR="008A5706" w:rsidRPr="008F762B">
        <w:rPr>
          <w:b/>
        </w:rPr>
        <w:t xml:space="preserve">que pudieran haber sido </w:t>
      </w:r>
      <w:r w:rsidR="003B7A06" w:rsidRPr="008F762B">
        <w:rPr>
          <w:b/>
        </w:rPr>
        <w:t>cometidas por particulares con la aquiescencia de agentes estatales,</w:t>
      </w:r>
      <w:r w:rsidR="00876523" w:rsidRPr="008F762B">
        <w:rPr>
          <w:b/>
        </w:rPr>
        <w:t xml:space="preserve"> se</w:t>
      </w:r>
      <w:r w:rsidR="00A24289" w:rsidRPr="008F762B">
        <w:rPr>
          <w:b/>
        </w:rPr>
        <w:t>an</w:t>
      </w:r>
      <w:r w:rsidR="00876523" w:rsidRPr="008F762B">
        <w:rPr>
          <w:b/>
        </w:rPr>
        <w:t xml:space="preserve"> investig</w:t>
      </w:r>
      <w:r w:rsidR="00A24289" w:rsidRPr="008F762B">
        <w:rPr>
          <w:b/>
        </w:rPr>
        <w:t>adas</w:t>
      </w:r>
      <w:r w:rsidR="00876523" w:rsidRPr="008F762B">
        <w:rPr>
          <w:b/>
        </w:rPr>
        <w:t xml:space="preserve"> sin demora y de manera </w:t>
      </w:r>
      <w:r w:rsidR="00FD26B3" w:rsidRPr="008F762B">
        <w:rPr>
          <w:b/>
        </w:rPr>
        <w:t xml:space="preserve">exhaustiva, </w:t>
      </w:r>
      <w:r w:rsidR="00876523" w:rsidRPr="008F762B">
        <w:rPr>
          <w:b/>
        </w:rPr>
        <w:t xml:space="preserve">independiente </w:t>
      </w:r>
      <w:r w:rsidR="00FD26B3" w:rsidRPr="008F762B">
        <w:rPr>
          <w:b/>
        </w:rPr>
        <w:t>e imparcial</w:t>
      </w:r>
      <w:r w:rsidR="00DB62CA" w:rsidRPr="008F762B">
        <w:rPr>
          <w:b/>
        </w:rPr>
        <w:t xml:space="preserve"> </w:t>
      </w:r>
      <w:r w:rsidR="00876523" w:rsidRPr="008F762B">
        <w:rPr>
          <w:b/>
        </w:rPr>
        <w:t xml:space="preserve">y que los autores sean llevados ante la justicia y, de ser declarados culpables, </w:t>
      </w:r>
      <w:r w:rsidR="007456C0" w:rsidRPr="008F762B">
        <w:rPr>
          <w:b/>
        </w:rPr>
        <w:t>sancionados</w:t>
      </w:r>
      <w:r w:rsidR="00BD6AEF" w:rsidRPr="008F762B">
        <w:rPr>
          <w:b/>
        </w:rPr>
        <w:t xml:space="preserve"> </w:t>
      </w:r>
      <w:r w:rsidR="00876523" w:rsidRPr="008F762B">
        <w:rPr>
          <w:b/>
        </w:rPr>
        <w:t>de conformidad con la gravedad de sus actos;</w:t>
      </w:r>
    </w:p>
    <w:p w:rsidR="00BD6AEF" w:rsidRPr="008F762B" w:rsidRDefault="008F762B" w:rsidP="008F762B">
      <w:pPr>
        <w:pStyle w:val="SingleTxtG"/>
        <w:rPr>
          <w:b/>
        </w:rPr>
      </w:pPr>
      <w:r>
        <w:rPr>
          <w:b/>
        </w:rPr>
        <w:tab/>
        <w:t>c)</w:t>
      </w:r>
      <w:r>
        <w:rPr>
          <w:b/>
        </w:rPr>
        <w:tab/>
      </w:r>
      <w:r w:rsidR="00BD6AEF" w:rsidRPr="008F762B">
        <w:rPr>
          <w:b/>
        </w:rPr>
        <w:t>Redobla</w:t>
      </w:r>
      <w:r w:rsidR="00C66A4B" w:rsidRPr="008F762B">
        <w:rPr>
          <w:b/>
        </w:rPr>
        <w:t>r</w:t>
      </w:r>
      <w:r w:rsidR="00BD6AEF" w:rsidRPr="008F762B">
        <w:rPr>
          <w:b/>
        </w:rPr>
        <w:t xml:space="preserve"> sus esfuerzos con miras a garantizar la efectiva prevenci</w:t>
      </w:r>
      <w:r w:rsidR="00C66A4B" w:rsidRPr="008F762B">
        <w:rPr>
          <w:b/>
        </w:rPr>
        <w:t>ón de los actos de tortura y</w:t>
      </w:r>
      <w:r w:rsidR="00BD6AEF" w:rsidRPr="008F762B">
        <w:rPr>
          <w:b/>
        </w:rPr>
        <w:t xml:space="preserve"> </w:t>
      </w:r>
      <w:r w:rsidR="00C66A4B" w:rsidRPr="008F762B">
        <w:rPr>
          <w:b/>
        </w:rPr>
        <w:t xml:space="preserve">los </w:t>
      </w:r>
      <w:r w:rsidR="00BD6AEF" w:rsidRPr="008F762B">
        <w:rPr>
          <w:b/>
        </w:rPr>
        <w:t>malos tratos y la sanción de los responsable</w:t>
      </w:r>
      <w:r w:rsidR="00C66A4B" w:rsidRPr="008F762B">
        <w:rPr>
          <w:b/>
        </w:rPr>
        <w:t>s</w:t>
      </w:r>
      <w:r w:rsidR="00BD6AEF" w:rsidRPr="008F762B">
        <w:rPr>
          <w:b/>
        </w:rPr>
        <w:t>;</w:t>
      </w:r>
    </w:p>
    <w:p w:rsidR="00BD6AEF" w:rsidRPr="008F762B" w:rsidRDefault="008F762B" w:rsidP="008F762B">
      <w:pPr>
        <w:pStyle w:val="SingleTxtG"/>
        <w:rPr>
          <w:b/>
        </w:rPr>
      </w:pPr>
      <w:r>
        <w:rPr>
          <w:b/>
        </w:rPr>
        <w:tab/>
        <w:t>d)</w:t>
      </w:r>
      <w:r>
        <w:rPr>
          <w:b/>
        </w:rPr>
        <w:tab/>
      </w:r>
      <w:r w:rsidR="00BD6AEF" w:rsidRPr="008F762B">
        <w:rPr>
          <w:b/>
        </w:rPr>
        <w:t>Garantizar que ninguna persona sea sometida a detención arbitraria y velar por que todas aquellas personas que enfrenten cargos tengan acceso a un juicio justo e imparcial;</w:t>
      </w:r>
    </w:p>
    <w:p w:rsidR="00D137A0" w:rsidRDefault="008F762B" w:rsidP="008F762B">
      <w:pPr>
        <w:pStyle w:val="SingleTxtG"/>
      </w:pPr>
      <w:r>
        <w:rPr>
          <w:b/>
        </w:rPr>
        <w:tab/>
        <w:t>e)</w:t>
      </w:r>
      <w:r>
        <w:rPr>
          <w:b/>
        </w:rPr>
        <w:tab/>
      </w:r>
      <w:r w:rsidR="000F2724" w:rsidRPr="008F762B">
        <w:rPr>
          <w:b/>
        </w:rPr>
        <w:t>Velar por</w:t>
      </w:r>
      <w:r w:rsidR="000F7D10" w:rsidRPr="008F762B">
        <w:rPr>
          <w:b/>
        </w:rPr>
        <w:t xml:space="preserve"> que</w:t>
      </w:r>
      <w:r w:rsidR="0026538B" w:rsidRPr="00357584">
        <w:rPr>
          <w:b/>
        </w:rPr>
        <w:t>, a la luz del artículo 9 del Pacto,</w:t>
      </w:r>
      <w:r w:rsidR="000F7D10" w:rsidRPr="008F762B">
        <w:rPr>
          <w:b/>
        </w:rPr>
        <w:t xml:space="preserve"> las personas privadas de libertad </w:t>
      </w:r>
      <w:r w:rsidR="000F2724" w:rsidRPr="008F762B">
        <w:rPr>
          <w:b/>
        </w:rPr>
        <w:t>gocen</w:t>
      </w:r>
      <w:r w:rsidR="000F7D10" w:rsidRPr="008F762B">
        <w:rPr>
          <w:b/>
        </w:rPr>
        <w:t xml:space="preserve"> de todas las salvaguardias </w:t>
      </w:r>
      <w:r w:rsidR="00805907" w:rsidRPr="008F762B">
        <w:rPr>
          <w:b/>
        </w:rPr>
        <w:t xml:space="preserve">legales </w:t>
      </w:r>
      <w:r w:rsidR="000F7D10" w:rsidRPr="008F762B">
        <w:rPr>
          <w:b/>
        </w:rPr>
        <w:t>fundamentales desde el inicio de la privación de la libertad y</w:t>
      </w:r>
      <w:r w:rsidR="00D137A0" w:rsidRPr="008F762B">
        <w:rPr>
          <w:b/>
        </w:rPr>
        <w:t>, en ese sentido, el Comité</w:t>
      </w:r>
      <w:r w:rsidR="000F7D10" w:rsidRPr="008F762B">
        <w:rPr>
          <w:b/>
        </w:rPr>
        <w:t xml:space="preserve"> </w:t>
      </w:r>
      <w:r w:rsidR="00BD18C7" w:rsidRPr="008F762B">
        <w:rPr>
          <w:b/>
        </w:rPr>
        <w:t xml:space="preserve">lo </w:t>
      </w:r>
      <w:r w:rsidR="000F7D10" w:rsidRPr="008F762B">
        <w:rPr>
          <w:b/>
        </w:rPr>
        <w:t>alienta a aplicar las recomendaciones</w:t>
      </w:r>
      <w:r w:rsidR="000F392A">
        <w:rPr>
          <w:b/>
        </w:rPr>
        <w:t xml:space="preserve"> </w:t>
      </w:r>
      <w:r w:rsidR="000F392A" w:rsidRPr="00357584">
        <w:rPr>
          <w:b/>
        </w:rPr>
        <w:t>relevantes</w:t>
      </w:r>
      <w:r w:rsidR="000F7D10" w:rsidRPr="00087F9B">
        <w:rPr>
          <w:b/>
        </w:rPr>
        <w:t xml:space="preserve"> </w:t>
      </w:r>
      <w:r w:rsidR="00805907" w:rsidRPr="00087F9B">
        <w:rPr>
          <w:b/>
        </w:rPr>
        <w:t>f</w:t>
      </w:r>
      <w:r w:rsidR="00805907" w:rsidRPr="008F762B">
        <w:rPr>
          <w:b/>
        </w:rPr>
        <w:t>ormuladas</w:t>
      </w:r>
      <w:r w:rsidR="000F7D10" w:rsidRPr="008F762B">
        <w:rPr>
          <w:b/>
        </w:rPr>
        <w:t xml:space="preserve"> al respecto por el Comité contra la Tortura en sus recientes observaciones finales (CAT/C/VEN/CO/3-4, para. 9</w:t>
      </w:r>
      <w:r w:rsidR="000F7D10">
        <w:t>);</w:t>
      </w:r>
    </w:p>
    <w:p w:rsidR="00C17C3C" w:rsidRPr="008F762B" w:rsidRDefault="008F762B" w:rsidP="008F762B">
      <w:pPr>
        <w:pStyle w:val="SingleTxtG"/>
        <w:rPr>
          <w:b/>
        </w:rPr>
      </w:pPr>
      <w:r>
        <w:rPr>
          <w:b/>
        </w:rPr>
        <w:tab/>
        <w:t>f)</w:t>
      </w:r>
      <w:r>
        <w:rPr>
          <w:b/>
        </w:rPr>
        <w:tab/>
      </w:r>
      <w:r w:rsidR="00C17C3C" w:rsidRPr="008F762B">
        <w:rPr>
          <w:b/>
        </w:rPr>
        <w:t>Garantizar que las tareas de mantenimiento del orden público estén a cargo, en la mayor medida posible, de autoridades civiles y no militares.</w:t>
      </w:r>
    </w:p>
    <w:p w:rsidR="00E12E19" w:rsidRDefault="0028122F" w:rsidP="00E12E19">
      <w:pPr>
        <w:pStyle w:val="H23G"/>
      </w:pPr>
      <w:r>
        <w:tab/>
      </w:r>
      <w:r>
        <w:tab/>
      </w:r>
      <w:r w:rsidR="00654365">
        <w:t xml:space="preserve">Independencia </w:t>
      </w:r>
      <w:r w:rsidR="00CD64E5">
        <w:t>del P</w:t>
      </w:r>
      <w:r w:rsidR="00E12E19">
        <w:t xml:space="preserve">oder </w:t>
      </w:r>
      <w:r w:rsidR="00CD64E5">
        <w:t>J</w:t>
      </w:r>
      <w:r w:rsidR="00E12E19">
        <w:t>udicial</w:t>
      </w:r>
    </w:p>
    <w:p w:rsidR="00E12E19" w:rsidRDefault="00001A96" w:rsidP="00001A96">
      <w:pPr>
        <w:pStyle w:val="SingleTxtG"/>
      </w:pPr>
      <w:r>
        <w:t>15.</w:t>
      </w:r>
      <w:r>
        <w:tab/>
      </w:r>
      <w:r w:rsidR="00E12E19">
        <w:t xml:space="preserve">El Comité </w:t>
      </w:r>
      <w:r w:rsidR="00D4092F">
        <w:t xml:space="preserve">continúa </w:t>
      </w:r>
      <w:r w:rsidR="00E12E19">
        <w:t xml:space="preserve">preocupado por la </w:t>
      </w:r>
      <w:r w:rsidR="00D4092F">
        <w:t xml:space="preserve">situación del </w:t>
      </w:r>
      <w:r w:rsidR="00E12E19">
        <w:t xml:space="preserve">poder judicial </w:t>
      </w:r>
      <w:r w:rsidR="00D4092F">
        <w:t xml:space="preserve">en el Estado parte, particularmente en lo que atañe </w:t>
      </w:r>
      <w:r w:rsidR="00D4092F" w:rsidRPr="00110ACD">
        <w:t xml:space="preserve">a su </w:t>
      </w:r>
      <w:r w:rsidR="00BD18C7" w:rsidRPr="00110ACD">
        <w:t xml:space="preserve">autonomía, </w:t>
      </w:r>
      <w:r w:rsidR="00E12E19" w:rsidRPr="00110ACD">
        <w:t>independ</w:t>
      </w:r>
      <w:r w:rsidR="00D4092F" w:rsidRPr="00110ACD">
        <w:t>encia</w:t>
      </w:r>
      <w:r w:rsidR="00D4092F">
        <w:t xml:space="preserve"> e</w:t>
      </w:r>
      <w:r w:rsidR="00E12E19">
        <w:t xml:space="preserve"> imparcial</w:t>
      </w:r>
      <w:r w:rsidR="00D4092F">
        <w:t>idad</w:t>
      </w:r>
      <w:r w:rsidR="00E12E19">
        <w:t xml:space="preserve">. </w:t>
      </w:r>
      <w:r w:rsidR="00F7025A">
        <w:t>O</w:t>
      </w:r>
      <w:r w:rsidR="00E12E19">
        <w:t xml:space="preserve">bserva con preocupación </w:t>
      </w:r>
      <w:r w:rsidR="009A6D27">
        <w:t>que</w:t>
      </w:r>
      <w:r w:rsidR="004C1261">
        <w:t xml:space="preserve"> sólo el 34 por ciento</w:t>
      </w:r>
      <w:r w:rsidR="005F34D2">
        <w:t xml:space="preserve"> de </w:t>
      </w:r>
      <w:r w:rsidR="00D4092F">
        <w:t xml:space="preserve">los jueces </w:t>
      </w:r>
      <w:r w:rsidR="004C1261">
        <w:t xml:space="preserve">son titulares, lo que significa que el resto </w:t>
      </w:r>
      <w:r w:rsidR="007354EB">
        <w:t>se encuentra en situación de provisionalidad</w:t>
      </w:r>
      <w:r w:rsidR="004C1261">
        <w:t xml:space="preserve"> </w:t>
      </w:r>
      <w:r w:rsidR="00C23380">
        <w:t xml:space="preserve">y que </w:t>
      </w:r>
      <w:r w:rsidR="007354EB">
        <w:t xml:space="preserve">tanto </w:t>
      </w:r>
      <w:r w:rsidR="005F34D2">
        <w:t>su</w:t>
      </w:r>
      <w:r w:rsidR="00C974BB">
        <w:t>s</w:t>
      </w:r>
      <w:r w:rsidR="005F34D2">
        <w:t xml:space="preserve"> nombramiento</w:t>
      </w:r>
      <w:r w:rsidR="00C974BB">
        <w:t>s</w:t>
      </w:r>
      <w:r w:rsidR="005F34D2">
        <w:t xml:space="preserve"> como </w:t>
      </w:r>
      <w:r w:rsidR="00C974BB">
        <w:t>remociones</w:t>
      </w:r>
      <w:r w:rsidR="005F34D2">
        <w:t xml:space="preserve"> pueden realizarse de manera discrecional.</w:t>
      </w:r>
      <w:r w:rsidR="00F7025A">
        <w:t xml:space="preserve"> </w:t>
      </w:r>
      <w:r w:rsidR="00C36687">
        <w:t xml:space="preserve">Asimismo, </w:t>
      </w:r>
      <w:r w:rsidR="007F44AC">
        <w:t>lamenta no haber recibido información sobre el</w:t>
      </w:r>
      <w:r w:rsidR="00241883">
        <w:t xml:space="preserve"> porcentaje de fiscales del Ministerio Público </w:t>
      </w:r>
      <w:r w:rsidR="007F44AC">
        <w:t xml:space="preserve">que son titulares y, al respecto, </w:t>
      </w:r>
      <w:r w:rsidR="002133CD">
        <w:t>le preocupan</w:t>
      </w:r>
      <w:r w:rsidR="007F44AC">
        <w:t xml:space="preserve"> l</w:t>
      </w:r>
      <w:r w:rsidR="002133CD">
        <w:t>os</w:t>
      </w:r>
      <w:r w:rsidR="007F44AC">
        <w:t xml:space="preserve"> informes que indican que ese porcentaje sería </w:t>
      </w:r>
      <w:r w:rsidR="007F44AC" w:rsidRPr="00110ACD">
        <w:t>muy bajo</w:t>
      </w:r>
      <w:r w:rsidR="00241883" w:rsidRPr="00110ACD">
        <w:t>. E</w:t>
      </w:r>
      <w:r w:rsidR="00AD29A4" w:rsidRPr="00110ACD">
        <w:t xml:space="preserve">l Comité se muestra preocupado </w:t>
      </w:r>
      <w:r w:rsidR="007F44AC" w:rsidRPr="00110ACD">
        <w:t xml:space="preserve">también </w:t>
      </w:r>
      <w:r w:rsidR="00AD29A4" w:rsidRPr="00110ACD">
        <w:t xml:space="preserve">por </w:t>
      </w:r>
      <w:r w:rsidR="00C80B25" w:rsidRPr="00110ACD">
        <w:t xml:space="preserve">los informes sobre las consecuencias </w:t>
      </w:r>
      <w:r w:rsidR="00CD64E5" w:rsidRPr="00110ACD">
        <w:t xml:space="preserve">negativas </w:t>
      </w:r>
      <w:r w:rsidR="00C80B25" w:rsidRPr="00110ACD">
        <w:t xml:space="preserve">que habría tenido para </w:t>
      </w:r>
      <w:r w:rsidR="002133CD" w:rsidRPr="00110ACD">
        <w:t>algunos</w:t>
      </w:r>
      <w:r w:rsidR="002D4D40" w:rsidRPr="00110ACD">
        <w:t xml:space="preserve"> jueces</w:t>
      </w:r>
      <w:r w:rsidR="009A6D27" w:rsidRPr="00110ACD">
        <w:t xml:space="preserve"> </w:t>
      </w:r>
      <w:r w:rsidR="00C80B25" w:rsidRPr="00110ACD">
        <w:t xml:space="preserve">adoptar, en desempeño de sus funciones, </w:t>
      </w:r>
      <w:r w:rsidR="009A6D27" w:rsidRPr="00110ACD">
        <w:t>decisiones</w:t>
      </w:r>
      <w:r w:rsidR="00764288" w:rsidRPr="00110ACD">
        <w:t xml:space="preserve"> desfavorables al Gobierno</w:t>
      </w:r>
      <w:r w:rsidR="00CD64E5" w:rsidRPr="00110ACD">
        <w:t>.</w:t>
      </w:r>
      <w:r w:rsidR="00964DCC" w:rsidRPr="00110ACD">
        <w:t xml:space="preserve"> Al Comité le preocupa </w:t>
      </w:r>
      <w:r w:rsidR="00956A3C">
        <w:t>en particular</w:t>
      </w:r>
      <w:r w:rsidR="00956A3C" w:rsidRPr="00110ACD">
        <w:t xml:space="preserve"> </w:t>
      </w:r>
      <w:r w:rsidR="00964DCC" w:rsidRPr="00110ACD">
        <w:t xml:space="preserve">el </w:t>
      </w:r>
      <w:r w:rsidR="00C36DD1" w:rsidRPr="00110ACD">
        <w:t>caso</w:t>
      </w:r>
      <w:r w:rsidR="003E6694" w:rsidRPr="00110ACD">
        <w:t xml:space="preserve"> de la jueza María Lourdes </w:t>
      </w:r>
      <w:proofErr w:type="spellStart"/>
      <w:r w:rsidR="003E6694" w:rsidRPr="00110ACD">
        <w:t>Afiuni</w:t>
      </w:r>
      <w:proofErr w:type="spellEnd"/>
      <w:r w:rsidR="003E6694" w:rsidRPr="00110ACD">
        <w:t>, quien fue</w:t>
      </w:r>
      <w:r w:rsidR="00C36DD1" w:rsidRPr="00110ACD">
        <w:t>ra</w:t>
      </w:r>
      <w:r w:rsidR="003E6694" w:rsidRPr="00110ACD">
        <w:t xml:space="preserve"> detenida en 2009 por haber ordenado </w:t>
      </w:r>
      <w:r w:rsidR="005D0F23" w:rsidRPr="00110ACD">
        <w:t>una medida sustitutiva de libertad</w:t>
      </w:r>
      <w:r w:rsidR="003E6694" w:rsidRPr="00110ACD">
        <w:t xml:space="preserve"> de una persona cuya</w:t>
      </w:r>
      <w:r w:rsidR="003E6694">
        <w:t xml:space="preserve"> detención había sido declarada arbitraria por el Grupo de </w:t>
      </w:r>
      <w:r w:rsidR="003E6694">
        <w:lastRenderedPageBreak/>
        <w:t>Trabajo sobre la detención arbitraria y posteriormente por este Comité (</w:t>
      </w:r>
      <w:r w:rsidR="003E6694" w:rsidRPr="003E6694">
        <w:t>Comunicación Nº 1940/2010</w:t>
      </w:r>
      <w:r w:rsidR="003E6694">
        <w:t>)</w:t>
      </w:r>
      <w:r w:rsidR="007354EB">
        <w:t>.</w:t>
      </w:r>
      <w:r w:rsidR="00805907">
        <w:t xml:space="preserve"> T</w:t>
      </w:r>
      <w:r w:rsidR="007354EB">
        <w:t>ambién le pr</w:t>
      </w:r>
      <w:r w:rsidR="00764288">
        <w:t>eocupan los informes de que la j</w:t>
      </w:r>
      <w:r w:rsidR="007354EB">
        <w:t xml:space="preserve">ueza </w:t>
      </w:r>
      <w:proofErr w:type="spellStart"/>
      <w:r w:rsidR="007354EB">
        <w:t>Afiuni</w:t>
      </w:r>
      <w:proofErr w:type="spellEnd"/>
      <w:r w:rsidR="007354EB">
        <w:t xml:space="preserve"> </w:t>
      </w:r>
      <w:r w:rsidR="009E47F0">
        <w:t xml:space="preserve">habría </w:t>
      </w:r>
      <w:r w:rsidR="00C967BE">
        <w:t xml:space="preserve">sufrido malos tratos y agresión </w:t>
      </w:r>
      <w:r w:rsidR="009E47F0">
        <w:t xml:space="preserve">sexual durante su detención </w:t>
      </w:r>
      <w:r w:rsidR="00533309">
        <w:t xml:space="preserve">y </w:t>
      </w:r>
      <w:r w:rsidR="000639A1">
        <w:t xml:space="preserve">de </w:t>
      </w:r>
      <w:r w:rsidR="00533309">
        <w:t xml:space="preserve">que tales alegaciones </w:t>
      </w:r>
      <w:r w:rsidR="009E47F0">
        <w:t xml:space="preserve">no habrían sido </w:t>
      </w:r>
      <w:r w:rsidR="00BD18C7">
        <w:t xml:space="preserve">oportunamente </w:t>
      </w:r>
      <w:r w:rsidR="009E47F0">
        <w:t xml:space="preserve">investigadas </w:t>
      </w:r>
      <w:r w:rsidR="00E12E19">
        <w:t>(art</w:t>
      </w:r>
      <w:r w:rsidR="006C55D8">
        <w:t>s</w:t>
      </w:r>
      <w:r w:rsidR="00E12E19">
        <w:t>.</w:t>
      </w:r>
      <w:r w:rsidR="006C55D8">
        <w:t xml:space="preserve"> 7 y</w:t>
      </w:r>
      <w:r w:rsidR="00E12E19">
        <w:t xml:space="preserve"> 14).</w:t>
      </w:r>
    </w:p>
    <w:p w:rsidR="00E12E19" w:rsidRPr="00E12E19" w:rsidRDefault="00E12E19" w:rsidP="00CB797D">
      <w:pPr>
        <w:pStyle w:val="SingleTxtG"/>
        <w:rPr>
          <w:b/>
        </w:rPr>
      </w:pPr>
      <w:r w:rsidRPr="00E12E19">
        <w:rPr>
          <w:b/>
        </w:rPr>
        <w:t xml:space="preserve">El Estado parte debe tomar medidas inmediatas para asegurar y proteger la plena </w:t>
      </w:r>
      <w:r w:rsidR="00BD18C7" w:rsidRPr="00110ACD">
        <w:rPr>
          <w:b/>
        </w:rPr>
        <w:t>autonomía</w:t>
      </w:r>
      <w:r w:rsidR="00BD18C7">
        <w:rPr>
          <w:b/>
        </w:rPr>
        <w:t xml:space="preserve">, </w:t>
      </w:r>
      <w:r w:rsidRPr="00E12E19">
        <w:rPr>
          <w:b/>
        </w:rPr>
        <w:t xml:space="preserve">independencia e imparcialidad de los jueces </w:t>
      </w:r>
      <w:r w:rsidR="00241883">
        <w:rPr>
          <w:b/>
        </w:rPr>
        <w:t xml:space="preserve">y fiscales </w:t>
      </w:r>
      <w:r w:rsidRPr="00E12E19">
        <w:rPr>
          <w:b/>
        </w:rPr>
        <w:t xml:space="preserve">y garantizar que su actuación esté libre de </w:t>
      </w:r>
      <w:r w:rsidR="003E6694">
        <w:rPr>
          <w:b/>
        </w:rPr>
        <w:t xml:space="preserve">todo tipo </w:t>
      </w:r>
      <w:r w:rsidRPr="00E12E19">
        <w:rPr>
          <w:b/>
        </w:rPr>
        <w:t>presiones e injerencias</w:t>
      </w:r>
      <w:r w:rsidR="00110ACD">
        <w:rPr>
          <w:b/>
        </w:rPr>
        <w:t xml:space="preserve">. En particular, debe adoptar </w:t>
      </w:r>
      <w:r w:rsidR="00764288">
        <w:rPr>
          <w:b/>
        </w:rPr>
        <w:t xml:space="preserve">medidas para </w:t>
      </w:r>
      <w:r w:rsidR="00237410">
        <w:rPr>
          <w:b/>
        </w:rPr>
        <w:t>corregir</w:t>
      </w:r>
      <w:r w:rsidR="00C37D51">
        <w:rPr>
          <w:b/>
        </w:rPr>
        <w:t xml:space="preserve"> </w:t>
      </w:r>
      <w:r w:rsidR="00237410">
        <w:rPr>
          <w:b/>
        </w:rPr>
        <w:t xml:space="preserve">a la mayor brevedad posible </w:t>
      </w:r>
      <w:r w:rsidR="00C37D51">
        <w:rPr>
          <w:b/>
        </w:rPr>
        <w:t>la situación de provisionalidad en la</w:t>
      </w:r>
      <w:r w:rsidR="00237410">
        <w:rPr>
          <w:b/>
        </w:rPr>
        <w:t xml:space="preserve"> que se encuentra la mayoría de los jueces y fiscales</w:t>
      </w:r>
      <w:r w:rsidR="009A6D27">
        <w:rPr>
          <w:b/>
        </w:rPr>
        <w:t>.</w:t>
      </w:r>
      <w:r w:rsidR="00BB421A">
        <w:rPr>
          <w:b/>
        </w:rPr>
        <w:t xml:space="preserve"> Asimismo, debe </w:t>
      </w:r>
      <w:r w:rsidR="00991298">
        <w:rPr>
          <w:b/>
        </w:rPr>
        <w:t xml:space="preserve">garantizar que se resuelva </w:t>
      </w:r>
      <w:r w:rsidR="00654365">
        <w:rPr>
          <w:b/>
        </w:rPr>
        <w:t>la situación judicial de</w:t>
      </w:r>
      <w:r w:rsidR="00991298">
        <w:rPr>
          <w:b/>
        </w:rPr>
        <w:t xml:space="preserve"> la </w:t>
      </w:r>
      <w:r w:rsidR="00764288">
        <w:rPr>
          <w:b/>
        </w:rPr>
        <w:t>j</w:t>
      </w:r>
      <w:r w:rsidR="00991298">
        <w:rPr>
          <w:b/>
        </w:rPr>
        <w:t xml:space="preserve">ueza </w:t>
      </w:r>
      <w:proofErr w:type="spellStart"/>
      <w:r w:rsidR="00991298">
        <w:rPr>
          <w:b/>
        </w:rPr>
        <w:t>Afiuni</w:t>
      </w:r>
      <w:proofErr w:type="spellEnd"/>
      <w:r w:rsidR="00991298">
        <w:rPr>
          <w:b/>
        </w:rPr>
        <w:t xml:space="preserve"> a la mayor brevedad posible en el marco de </w:t>
      </w:r>
      <w:r w:rsidR="00964DCC">
        <w:rPr>
          <w:b/>
        </w:rPr>
        <w:t>un juicio justo, independiente e imparcial</w:t>
      </w:r>
      <w:r w:rsidR="009E47F0">
        <w:rPr>
          <w:b/>
        </w:rPr>
        <w:t xml:space="preserve"> y que se investiguen de manera pronta, </w:t>
      </w:r>
      <w:r w:rsidR="00FD26B3">
        <w:rPr>
          <w:b/>
        </w:rPr>
        <w:t xml:space="preserve">exhaustiva, </w:t>
      </w:r>
      <w:r w:rsidR="009E47F0">
        <w:rPr>
          <w:b/>
        </w:rPr>
        <w:t>independiente e imparcial las alegaciones relativas a l</w:t>
      </w:r>
      <w:r w:rsidR="00C967BE">
        <w:rPr>
          <w:b/>
        </w:rPr>
        <w:t xml:space="preserve">os malos tratos y agresión sexual </w:t>
      </w:r>
      <w:r w:rsidR="009E47F0">
        <w:rPr>
          <w:b/>
        </w:rPr>
        <w:t xml:space="preserve">que habría sufrido durante su detención. </w:t>
      </w:r>
    </w:p>
    <w:p w:rsidR="008F6CB6" w:rsidRDefault="00E12E19" w:rsidP="00E12E19">
      <w:pPr>
        <w:pStyle w:val="H23G"/>
      </w:pPr>
      <w:r>
        <w:tab/>
      </w:r>
      <w:r>
        <w:tab/>
      </w:r>
      <w:r w:rsidR="008F6CB6">
        <w:t xml:space="preserve">Jurisdicción </w:t>
      </w:r>
      <w:r w:rsidR="00D73288">
        <w:t xml:space="preserve">penal </w:t>
      </w:r>
      <w:r w:rsidR="008F6CB6">
        <w:t>militar</w:t>
      </w:r>
      <w:r w:rsidR="004C60F8">
        <w:t xml:space="preserve"> </w:t>
      </w:r>
    </w:p>
    <w:p w:rsidR="004C67B3" w:rsidRDefault="00001A96" w:rsidP="00001A96">
      <w:pPr>
        <w:pStyle w:val="SingleTxtG"/>
      </w:pPr>
      <w:r>
        <w:t>16.</w:t>
      </w:r>
      <w:r>
        <w:tab/>
      </w:r>
      <w:r w:rsidR="008F6CB6">
        <w:t>El Comit</w:t>
      </w:r>
      <w:r w:rsidR="00D4073E">
        <w:t>é observa con</w:t>
      </w:r>
      <w:r w:rsidR="00654365">
        <w:t xml:space="preserve"> satisfacción que el artículo 261 de la Constitución de la República Bolivariana de Venezuela establece </w:t>
      </w:r>
      <w:r w:rsidR="00654365" w:rsidRPr="00654365">
        <w:rPr>
          <w:i/>
        </w:rPr>
        <w:t xml:space="preserve">inter </w:t>
      </w:r>
      <w:proofErr w:type="spellStart"/>
      <w:r w:rsidR="00654365" w:rsidRPr="00654365">
        <w:rPr>
          <w:i/>
        </w:rPr>
        <w:t>alia</w:t>
      </w:r>
      <w:proofErr w:type="spellEnd"/>
      <w:r w:rsidR="00654365">
        <w:t xml:space="preserve"> que la “</w:t>
      </w:r>
      <w:r w:rsidR="00654365" w:rsidRPr="00654365">
        <w:rPr>
          <w:bCs/>
        </w:rPr>
        <w:t>comisión de delitos comunes, violaciones de derechos humanos y crímenes de lesa humanidad, serán juzgados por los tribunales ordinarios</w:t>
      </w:r>
      <w:r w:rsidR="00654365" w:rsidRPr="00654365">
        <w:t>.</w:t>
      </w:r>
      <w:r w:rsidR="00654365">
        <w:t xml:space="preserve">” Sin embargo, le </w:t>
      </w:r>
      <w:r w:rsidR="00D4073E">
        <w:t xml:space="preserve">preocupa </w:t>
      </w:r>
      <w:r w:rsidR="008F6CB6">
        <w:t xml:space="preserve">que </w:t>
      </w:r>
      <w:r w:rsidR="00D4073E">
        <w:t>la jurisdicción penal militar s</w:t>
      </w:r>
      <w:r w:rsidR="00654365">
        <w:t>ea</w:t>
      </w:r>
      <w:r w:rsidR="00D4073E">
        <w:t xml:space="preserve"> competente para juzgar </w:t>
      </w:r>
      <w:r w:rsidR="008F6CB6">
        <w:t>civiles</w:t>
      </w:r>
      <w:r w:rsidR="00D4073E">
        <w:t xml:space="preserve"> en determinados supuestos</w:t>
      </w:r>
      <w:r w:rsidR="002F554A">
        <w:t xml:space="preserve">. Asimismo, lamenta no </w:t>
      </w:r>
      <w:r w:rsidR="00F246DD" w:rsidRPr="00DC12A9">
        <w:t xml:space="preserve">haber recibido información acerca del uso </w:t>
      </w:r>
      <w:r w:rsidR="00295F19" w:rsidRPr="00DC12A9">
        <w:t xml:space="preserve">en la práctica </w:t>
      </w:r>
      <w:r w:rsidR="00F246DD" w:rsidRPr="00DC12A9">
        <w:t>de la jurisdicción penal militar en relación con civiles</w:t>
      </w:r>
      <w:r w:rsidR="00654365">
        <w:t>, en particular sindicalistas</w:t>
      </w:r>
      <w:r w:rsidR="000C73B8">
        <w:t xml:space="preserve"> </w:t>
      </w:r>
      <w:r w:rsidR="00237410">
        <w:t>(art. 14</w:t>
      </w:r>
      <w:r w:rsidR="0027236E">
        <w:t>)</w:t>
      </w:r>
      <w:r w:rsidR="004C60F8">
        <w:t>.</w:t>
      </w:r>
    </w:p>
    <w:p w:rsidR="004C67B3" w:rsidRDefault="004C67B3" w:rsidP="004C67B3">
      <w:pPr>
        <w:pStyle w:val="SingleTxtG"/>
        <w:rPr>
          <w:b/>
        </w:rPr>
      </w:pPr>
      <w:r w:rsidRPr="00D4073E">
        <w:rPr>
          <w:b/>
          <w:bCs/>
          <w:lang w:val="es-MX"/>
        </w:rPr>
        <w:t>El Estado parte debe</w:t>
      </w:r>
      <w:r>
        <w:rPr>
          <w:b/>
          <w:bCs/>
          <w:lang w:val="es-MX"/>
        </w:rPr>
        <w:t xml:space="preserve"> adoptar las medidas </w:t>
      </w:r>
      <w:r w:rsidRPr="004C67B3">
        <w:rPr>
          <w:b/>
          <w:bCs/>
          <w:lang w:val="es-MX"/>
        </w:rPr>
        <w:t>legislativas o de otra índole</w:t>
      </w:r>
      <w:r>
        <w:rPr>
          <w:b/>
          <w:bCs/>
          <w:lang w:val="es-MX"/>
        </w:rPr>
        <w:t xml:space="preserve"> </w:t>
      </w:r>
      <w:r w:rsidR="00C80B25">
        <w:rPr>
          <w:b/>
          <w:bCs/>
          <w:lang w:val="es-MX"/>
        </w:rPr>
        <w:t xml:space="preserve">necesarias para </w:t>
      </w:r>
      <w:r w:rsidRPr="00D4073E">
        <w:rPr>
          <w:b/>
          <w:bCs/>
          <w:lang w:val="es-MX"/>
        </w:rPr>
        <w:t xml:space="preserve">prohibir que </w:t>
      </w:r>
      <w:r w:rsidR="00FD26B3">
        <w:rPr>
          <w:b/>
          <w:bCs/>
          <w:lang w:val="es-MX"/>
        </w:rPr>
        <w:t xml:space="preserve">los civiles puedan ser juzgados por </w:t>
      </w:r>
      <w:r>
        <w:rPr>
          <w:b/>
          <w:bCs/>
          <w:lang w:val="es-MX"/>
        </w:rPr>
        <w:t>la jurisdicción penal militar</w:t>
      </w:r>
      <w:r>
        <w:rPr>
          <w:b/>
        </w:rPr>
        <w:t>.</w:t>
      </w:r>
    </w:p>
    <w:p w:rsidR="00E12E19" w:rsidRDefault="004C67B3" w:rsidP="00E12E19">
      <w:pPr>
        <w:pStyle w:val="H23G"/>
      </w:pPr>
      <w:r>
        <w:tab/>
      </w:r>
      <w:r w:rsidR="00D65D04">
        <w:tab/>
      </w:r>
      <w:r w:rsidR="00CD2954">
        <w:t>Presuntos a</w:t>
      </w:r>
      <w:r w:rsidR="00110D46" w:rsidRPr="00110D46">
        <w:t xml:space="preserve">ctos de intimidación, </w:t>
      </w:r>
      <w:r w:rsidR="00D30471">
        <w:t xml:space="preserve">descalificación, </w:t>
      </w:r>
      <w:r w:rsidR="00110D46" w:rsidRPr="00110D46">
        <w:t>amenazas y</w:t>
      </w:r>
      <w:r w:rsidR="00544BB1">
        <w:t>/o</w:t>
      </w:r>
      <w:r w:rsidR="00110D46" w:rsidRPr="00110D46">
        <w:t xml:space="preserve"> </w:t>
      </w:r>
      <w:r w:rsidR="00625A44">
        <w:t>ataques</w:t>
      </w:r>
      <w:r w:rsidR="00110D46" w:rsidRPr="00110D46">
        <w:t xml:space="preserve"> contra periodistas, defensores de los derechos humanos</w:t>
      </w:r>
      <w:r w:rsidR="00544BB1">
        <w:t xml:space="preserve"> y</w:t>
      </w:r>
      <w:r w:rsidR="00110D46" w:rsidRPr="00110D46">
        <w:t xml:space="preserve"> abogados y </w:t>
      </w:r>
      <w:r w:rsidR="00544BB1">
        <w:t>presuntas detenciones arbitrarias de</w:t>
      </w:r>
      <w:r w:rsidR="00B7513F">
        <w:t xml:space="preserve"> </w:t>
      </w:r>
      <w:r w:rsidR="00B7513F" w:rsidRPr="00357584">
        <w:t>algunos</w:t>
      </w:r>
      <w:r w:rsidR="00544BB1">
        <w:t xml:space="preserve"> </w:t>
      </w:r>
      <w:r w:rsidR="00110D46" w:rsidRPr="00110D46">
        <w:t>miembros de la oposición política</w:t>
      </w:r>
    </w:p>
    <w:p w:rsidR="00E12E19" w:rsidRDefault="00001A96" w:rsidP="00001A96">
      <w:pPr>
        <w:pStyle w:val="SingleTxtG"/>
      </w:pPr>
      <w:r>
        <w:t>17.</w:t>
      </w:r>
      <w:r>
        <w:tab/>
      </w:r>
      <w:r w:rsidR="00E12E19">
        <w:t xml:space="preserve">El Comité está preocupado por </w:t>
      </w:r>
      <w:r w:rsidR="003C4A3B">
        <w:t>informes relativos a actos</w:t>
      </w:r>
      <w:r w:rsidR="00E12E19">
        <w:t xml:space="preserve"> </w:t>
      </w:r>
      <w:r w:rsidR="0045612B">
        <w:t xml:space="preserve">de </w:t>
      </w:r>
      <w:r w:rsidR="00E12E19">
        <w:t>intimidación</w:t>
      </w:r>
      <w:r w:rsidR="00AF3FCA">
        <w:t xml:space="preserve">, </w:t>
      </w:r>
      <w:r w:rsidR="00BD18C7">
        <w:t xml:space="preserve">descalificación, </w:t>
      </w:r>
      <w:r w:rsidR="00AF3FCA">
        <w:t>amenazas</w:t>
      </w:r>
      <w:r w:rsidR="00522995">
        <w:t xml:space="preserve"> y</w:t>
      </w:r>
      <w:r w:rsidR="00544BB1">
        <w:t>/o</w:t>
      </w:r>
      <w:r w:rsidR="00522995">
        <w:t xml:space="preserve"> </w:t>
      </w:r>
      <w:r w:rsidR="00625A44">
        <w:t>ataques</w:t>
      </w:r>
      <w:r w:rsidR="00E12E19">
        <w:t xml:space="preserve"> </w:t>
      </w:r>
      <w:r w:rsidR="0045612B">
        <w:t xml:space="preserve">presuntamente perpetrados contra </w:t>
      </w:r>
      <w:r w:rsidR="00E12E19">
        <w:t>periodistas, defensores de los derechos humanos</w:t>
      </w:r>
      <w:r w:rsidR="00544BB1">
        <w:t xml:space="preserve"> y</w:t>
      </w:r>
      <w:r w:rsidR="00522995">
        <w:t xml:space="preserve"> abogados</w:t>
      </w:r>
      <w:r w:rsidR="00544BB1">
        <w:t xml:space="preserve">. Asimismo, le preocupan los informes relativos a las detenciones de los </w:t>
      </w:r>
      <w:r w:rsidR="00DE24C9">
        <w:t>miembros de la oposición política Leopoldo López y Daniel Ceballos, que han sido declaradas arbitrarias por el Grupo de Trabajo sobre la detención arbitraria</w:t>
      </w:r>
      <w:r w:rsidR="00522995">
        <w:t xml:space="preserve"> </w:t>
      </w:r>
      <w:r w:rsidR="00E12E19">
        <w:t xml:space="preserve">(arts. 6, 7, </w:t>
      </w:r>
      <w:r w:rsidR="00A40D70">
        <w:t xml:space="preserve">9, </w:t>
      </w:r>
      <w:r w:rsidR="00E12E19">
        <w:t>19</w:t>
      </w:r>
      <w:r w:rsidR="00C16EFD">
        <w:t>,</w:t>
      </w:r>
      <w:r w:rsidR="00E12E19">
        <w:t xml:space="preserve"> 22</w:t>
      </w:r>
      <w:r w:rsidR="00C16EFD">
        <w:t xml:space="preserve"> y 25</w:t>
      </w:r>
      <w:r w:rsidR="00E12E19">
        <w:t>).</w:t>
      </w:r>
    </w:p>
    <w:p w:rsidR="00E12E19" w:rsidRPr="00E12E19" w:rsidRDefault="00E12E19" w:rsidP="00E12E19">
      <w:pPr>
        <w:pStyle w:val="SingleTxtG"/>
        <w:rPr>
          <w:b/>
        </w:rPr>
      </w:pPr>
      <w:r w:rsidRPr="00E12E19">
        <w:rPr>
          <w:b/>
        </w:rPr>
        <w:t>El Estado parte debe</w:t>
      </w:r>
      <w:r w:rsidR="00C80B25">
        <w:rPr>
          <w:b/>
        </w:rPr>
        <w:t xml:space="preserve"> adoptar las medidas necesarias para</w:t>
      </w:r>
      <w:r w:rsidRPr="00E12E19">
        <w:rPr>
          <w:b/>
        </w:rPr>
        <w:t xml:space="preserve">: </w:t>
      </w:r>
    </w:p>
    <w:p w:rsidR="00E12E19" w:rsidRPr="00E12E19" w:rsidRDefault="00E12E19" w:rsidP="00E12E19">
      <w:pPr>
        <w:pStyle w:val="SingleTxtG"/>
        <w:rPr>
          <w:b/>
        </w:rPr>
      </w:pPr>
      <w:r w:rsidRPr="00E12E19">
        <w:rPr>
          <w:b/>
        </w:rPr>
        <w:tab/>
        <w:t>a)</w:t>
      </w:r>
      <w:r w:rsidRPr="00E12E19">
        <w:rPr>
          <w:b/>
        </w:rPr>
        <w:tab/>
      </w:r>
      <w:r w:rsidR="00C80B25">
        <w:rPr>
          <w:b/>
        </w:rPr>
        <w:t>O</w:t>
      </w:r>
      <w:r w:rsidRPr="00E12E19">
        <w:rPr>
          <w:b/>
        </w:rPr>
        <w:t>frecer protección efectiva a los periodistas, defensores de los derechos humanos</w:t>
      </w:r>
      <w:r w:rsidR="00522995">
        <w:rPr>
          <w:b/>
        </w:rPr>
        <w:t xml:space="preserve">, </w:t>
      </w:r>
      <w:r w:rsidR="00BD18C7">
        <w:rPr>
          <w:b/>
        </w:rPr>
        <w:t>activistas sociales</w:t>
      </w:r>
      <w:r w:rsidR="00DE24C9">
        <w:rPr>
          <w:b/>
        </w:rPr>
        <w:t xml:space="preserve"> y</w:t>
      </w:r>
      <w:r w:rsidR="00BD18C7">
        <w:rPr>
          <w:b/>
        </w:rPr>
        <w:t xml:space="preserve"> </w:t>
      </w:r>
      <w:r w:rsidR="00522995">
        <w:rPr>
          <w:b/>
        </w:rPr>
        <w:t>abogados</w:t>
      </w:r>
      <w:r w:rsidR="00BD18C7">
        <w:rPr>
          <w:b/>
        </w:rPr>
        <w:t xml:space="preserve"> </w:t>
      </w:r>
      <w:r w:rsidRPr="00E12E19">
        <w:rPr>
          <w:b/>
        </w:rPr>
        <w:t>que s</w:t>
      </w:r>
      <w:r w:rsidR="00B326F2">
        <w:rPr>
          <w:b/>
        </w:rPr>
        <w:t>ea</w:t>
      </w:r>
      <w:r w:rsidRPr="00E12E19">
        <w:rPr>
          <w:b/>
        </w:rPr>
        <w:t xml:space="preserve">n objeto de </w:t>
      </w:r>
      <w:r w:rsidR="00A40D70">
        <w:rPr>
          <w:b/>
        </w:rPr>
        <w:t xml:space="preserve">actos de </w:t>
      </w:r>
      <w:r w:rsidRPr="00E12E19">
        <w:rPr>
          <w:b/>
        </w:rPr>
        <w:t>intimidación</w:t>
      </w:r>
      <w:r w:rsidR="00B326F2">
        <w:rPr>
          <w:b/>
        </w:rPr>
        <w:t xml:space="preserve">, amenazas y/o </w:t>
      </w:r>
      <w:r w:rsidR="00F36C15">
        <w:rPr>
          <w:b/>
        </w:rPr>
        <w:t>ataques</w:t>
      </w:r>
      <w:r w:rsidRPr="00E12E19">
        <w:rPr>
          <w:b/>
        </w:rPr>
        <w:t xml:space="preserve"> a causa de </w:t>
      </w:r>
      <w:r w:rsidR="00A40D70">
        <w:rPr>
          <w:b/>
        </w:rPr>
        <w:t>su trabajo de monitoreo e información sobre cuestiones de derechos humanos y otras cuestiones de interés público</w:t>
      </w:r>
      <w:r w:rsidRPr="00E12E19">
        <w:rPr>
          <w:b/>
        </w:rPr>
        <w:t>;</w:t>
      </w:r>
    </w:p>
    <w:p w:rsidR="00D62CA7" w:rsidRDefault="00E12E19" w:rsidP="00E12E19">
      <w:pPr>
        <w:pStyle w:val="SingleTxtG"/>
        <w:rPr>
          <w:b/>
        </w:rPr>
      </w:pPr>
      <w:r w:rsidRPr="00E12E19">
        <w:rPr>
          <w:b/>
        </w:rPr>
        <w:tab/>
        <w:t>b)</w:t>
      </w:r>
      <w:r w:rsidRPr="00E12E19">
        <w:rPr>
          <w:b/>
        </w:rPr>
        <w:tab/>
      </w:r>
      <w:r w:rsidR="00953415">
        <w:rPr>
          <w:b/>
        </w:rPr>
        <w:t>Garantizar que ningún agente estatal</w:t>
      </w:r>
      <w:r w:rsidR="00953415" w:rsidRPr="00E12E19">
        <w:rPr>
          <w:b/>
        </w:rPr>
        <w:t xml:space="preserve"> </w:t>
      </w:r>
      <w:r w:rsidR="00953415">
        <w:rPr>
          <w:b/>
        </w:rPr>
        <w:t xml:space="preserve">adopte medidas o realice actos que pudieran constituir intimidación, persecución, descalificación o una injerencia indebida en el trabajo de </w:t>
      </w:r>
      <w:r w:rsidR="00DE24C9" w:rsidRPr="00DE24C9">
        <w:rPr>
          <w:b/>
        </w:rPr>
        <w:t xml:space="preserve">los periodistas, </w:t>
      </w:r>
      <w:r w:rsidR="00B7513F">
        <w:rPr>
          <w:b/>
        </w:rPr>
        <w:t xml:space="preserve">los </w:t>
      </w:r>
      <w:r w:rsidR="00DE24C9" w:rsidRPr="00DE24C9">
        <w:rPr>
          <w:b/>
        </w:rPr>
        <w:t xml:space="preserve">defensores de los derechos humanos, </w:t>
      </w:r>
      <w:r w:rsidR="00B7513F">
        <w:rPr>
          <w:b/>
        </w:rPr>
        <w:t xml:space="preserve">los </w:t>
      </w:r>
      <w:r w:rsidR="00DE24C9" w:rsidRPr="00DE24C9">
        <w:rPr>
          <w:b/>
        </w:rPr>
        <w:t>activistas sociales</w:t>
      </w:r>
      <w:r w:rsidR="00DE24C9">
        <w:rPr>
          <w:b/>
        </w:rPr>
        <w:t>,</w:t>
      </w:r>
      <w:r w:rsidR="00DE24C9" w:rsidRPr="00DE24C9">
        <w:rPr>
          <w:b/>
        </w:rPr>
        <w:t xml:space="preserve"> </w:t>
      </w:r>
      <w:r w:rsidR="00B7513F">
        <w:rPr>
          <w:b/>
        </w:rPr>
        <w:t xml:space="preserve">los </w:t>
      </w:r>
      <w:r w:rsidR="00DE24C9" w:rsidRPr="00DE24C9">
        <w:rPr>
          <w:b/>
        </w:rPr>
        <w:t xml:space="preserve">abogados y </w:t>
      </w:r>
      <w:r w:rsidR="00B7513F">
        <w:rPr>
          <w:b/>
        </w:rPr>
        <w:t xml:space="preserve">los </w:t>
      </w:r>
      <w:r w:rsidR="00DE24C9" w:rsidRPr="00DE24C9">
        <w:rPr>
          <w:b/>
        </w:rPr>
        <w:t xml:space="preserve">miembros de la oposición política </w:t>
      </w:r>
      <w:r w:rsidR="00953415">
        <w:rPr>
          <w:b/>
        </w:rPr>
        <w:t>o en su</w:t>
      </w:r>
      <w:r w:rsidR="00DE24C9">
        <w:rPr>
          <w:b/>
        </w:rPr>
        <w:t>s</w:t>
      </w:r>
      <w:r w:rsidR="00953415">
        <w:rPr>
          <w:b/>
        </w:rPr>
        <w:t xml:space="preserve"> derecho</w:t>
      </w:r>
      <w:r w:rsidR="00DE24C9">
        <w:rPr>
          <w:b/>
        </w:rPr>
        <w:t>s</w:t>
      </w:r>
      <w:r w:rsidR="00953415">
        <w:rPr>
          <w:b/>
        </w:rPr>
        <w:t xml:space="preserve"> </w:t>
      </w:r>
      <w:r w:rsidR="00DE24C9">
        <w:rPr>
          <w:b/>
        </w:rPr>
        <w:t>en virtud del Pacto</w:t>
      </w:r>
      <w:r w:rsidR="00D62CA7">
        <w:rPr>
          <w:b/>
        </w:rPr>
        <w:t>;</w:t>
      </w:r>
    </w:p>
    <w:p w:rsidR="00150B23" w:rsidRPr="00E12E19" w:rsidRDefault="00171082" w:rsidP="00E12E19">
      <w:pPr>
        <w:pStyle w:val="SingleTxtG"/>
        <w:rPr>
          <w:b/>
        </w:rPr>
      </w:pPr>
      <w:r>
        <w:rPr>
          <w:b/>
        </w:rPr>
        <w:tab/>
        <w:t>c)</w:t>
      </w:r>
      <w:r>
        <w:rPr>
          <w:b/>
        </w:rPr>
        <w:tab/>
      </w:r>
      <w:r w:rsidR="00953415">
        <w:rPr>
          <w:b/>
        </w:rPr>
        <w:t>Asegurar que se investiguen de manera pronta, exhaustiva, independiente e imparcial todas las alegaciones relativas a actos de</w:t>
      </w:r>
      <w:r w:rsidR="00953415" w:rsidRPr="00150B23">
        <w:rPr>
          <w:b/>
        </w:rPr>
        <w:t xml:space="preserve"> intimidación</w:t>
      </w:r>
      <w:r w:rsidR="00953415">
        <w:rPr>
          <w:b/>
        </w:rPr>
        <w:t>, amenazas</w:t>
      </w:r>
      <w:r w:rsidR="00953415" w:rsidRPr="00150B23">
        <w:rPr>
          <w:b/>
        </w:rPr>
        <w:t xml:space="preserve"> y </w:t>
      </w:r>
      <w:r w:rsidR="00953415">
        <w:rPr>
          <w:b/>
        </w:rPr>
        <w:t>ataques y que los autores sean llevados ante la justicia y debidamente sancionados</w:t>
      </w:r>
      <w:r w:rsidR="00150B23">
        <w:rPr>
          <w:b/>
        </w:rPr>
        <w:t>.</w:t>
      </w:r>
    </w:p>
    <w:p w:rsidR="00247070" w:rsidRDefault="008F7EDD" w:rsidP="00247070">
      <w:pPr>
        <w:pStyle w:val="H23G"/>
        <w:rPr>
          <w:b w:val="0"/>
        </w:rPr>
      </w:pPr>
      <w:r>
        <w:lastRenderedPageBreak/>
        <w:tab/>
      </w:r>
      <w:r>
        <w:tab/>
      </w:r>
      <w:r w:rsidR="00247070">
        <w:t xml:space="preserve">Declaraciones descalificatorias contra miembros de organizaciones de la sociedad civil que </w:t>
      </w:r>
      <w:r w:rsidR="00C65833">
        <w:t>contribuyeron a labor d</w:t>
      </w:r>
      <w:r w:rsidR="00247070">
        <w:t>el Comité</w:t>
      </w:r>
    </w:p>
    <w:p w:rsidR="00247070" w:rsidRPr="001000C1" w:rsidRDefault="00001A96" w:rsidP="00001A96">
      <w:pPr>
        <w:pStyle w:val="SingleTxtG"/>
        <w:rPr>
          <w:b/>
          <w:lang w:val="es-MX"/>
        </w:rPr>
      </w:pPr>
      <w:r w:rsidRPr="001000C1">
        <w:t>18.</w:t>
      </w:r>
      <w:r w:rsidRPr="001000C1">
        <w:tab/>
      </w:r>
      <w:r w:rsidR="00247070">
        <w:t xml:space="preserve">El Comité se </w:t>
      </w:r>
      <w:r w:rsidR="00247070" w:rsidRPr="00DC12A9">
        <w:t>encuentra preocupado</w:t>
      </w:r>
      <w:r w:rsidR="00247070">
        <w:t xml:space="preserve"> por los informes que </w:t>
      </w:r>
      <w:r w:rsidR="00DC12A9" w:rsidRPr="00DC12A9">
        <w:t xml:space="preserve">señalan que algunas de las personas que </w:t>
      </w:r>
      <w:r w:rsidR="00C65833">
        <w:t>contribuyeron</w:t>
      </w:r>
      <w:r w:rsidR="00C65833" w:rsidRPr="00DC12A9">
        <w:t xml:space="preserve"> </w:t>
      </w:r>
      <w:r w:rsidR="00C65833">
        <w:t xml:space="preserve">a </w:t>
      </w:r>
      <w:r w:rsidR="003105A1">
        <w:t>su</w:t>
      </w:r>
      <w:r w:rsidR="000221C6">
        <w:t xml:space="preserve"> labor </w:t>
      </w:r>
      <w:r w:rsidR="00DC12A9" w:rsidRPr="00DC12A9">
        <w:t xml:space="preserve">en el marco del examen del cuarto informe periódico del Estado parte </w:t>
      </w:r>
      <w:r w:rsidR="000221C6">
        <w:t>fueron</w:t>
      </w:r>
      <w:r w:rsidR="00DC12A9" w:rsidRPr="00DC12A9">
        <w:t xml:space="preserve"> objeto de declaraciones descalificatorias como consecuencia de dicha </w:t>
      </w:r>
      <w:r w:rsidR="000221C6">
        <w:t>contribución</w:t>
      </w:r>
      <w:r w:rsidR="00DC12A9" w:rsidRPr="00DC12A9">
        <w:t xml:space="preserve"> por parte del Presidente de la Asamblea Nacional en </w:t>
      </w:r>
      <w:r w:rsidR="000221C6">
        <w:t>el</w:t>
      </w:r>
      <w:r w:rsidR="00DC12A9" w:rsidRPr="00DC12A9">
        <w:t xml:space="preserve"> programa de tv “Con el Mazo Dando”, citando información de “patriotas cooperantes”</w:t>
      </w:r>
      <w:r w:rsidR="00DC12A9">
        <w:t>.</w:t>
      </w:r>
      <w:r w:rsidR="00247070">
        <w:t xml:space="preserve"> </w:t>
      </w:r>
      <w:r w:rsidR="000942C4" w:rsidRPr="00DC12A9">
        <w:t xml:space="preserve">Dichas declaraciones </w:t>
      </w:r>
      <w:r w:rsidR="000221C6">
        <w:t>fueron</w:t>
      </w:r>
      <w:r w:rsidR="000942C4" w:rsidRPr="00DC12A9">
        <w:t xml:space="preserve"> realizadas poco tie</w:t>
      </w:r>
      <w:r w:rsidR="00DA5549">
        <w:t>mpo después de que el Comité trajera a la atención de</w:t>
      </w:r>
      <w:r w:rsidR="000942C4" w:rsidRPr="00DC12A9">
        <w:t xml:space="preserve"> la delegación</w:t>
      </w:r>
      <w:r w:rsidR="00DC12A9">
        <w:t xml:space="preserve"> </w:t>
      </w:r>
      <w:r w:rsidR="000942C4" w:rsidRPr="00DC12A9">
        <w:t xml:space="preserve">declaraciones </w:t>
      </w:r>
      <w:r w:rsidR="00DA5549">
        <w:t>hechas anteriormente por</w:t>
      </w:r>
      <w:r w:rsidR="000942C4" w:rsidRPr="00DC12A9">
        <w:t xml:space="preserve"> la misma persona </w:t>
      </w:r>
      <w:r w:rsidR="00DA5549">
        <w:t>en</w:t>
      </w:r>
      <w:r w:rsidR="000942C4" w:rsidRPr="00DC12A9">
        <w:t xml:space="preserve"> relación </w:t>
      </w:r>
      <w:r w:rsidR="00DA5549">
        <w:t>con</w:t>
      </w:r>
      <w:r w:rsidR="000942C4" w:rsidRPr="00DC12A9">
        <w:t xml:space="preserve"> la </w:t>
      </w:r>
      <w:r w:rsidR="000221C6">
        <w:t xml:space="preserve">contribución </w:t>
      </w:r>
      <w:r w:rsidR="000942C4" w:rsidRPr="00DC12A9">
        <w:t xml:space="preserve">de organizaciones de la sociedad civil </w:t>
      </w:r>
      <w:r w:rsidR="000221C6">
        <w:t>a la labor de</w:t>
      </w:r>
      <w:r w:rsidR="000942C4" w:rsidRPr="00DC12A9">
        <w:t xml:space="preserve"> otros mecanismos internacionales de derechos humanos.</w:t>
      </w:r>
      <w:r w:rsidR="000942C4">
        <w:t xml:space="preserve"> </w:t>
      </w:r>
      <w:r w:rsidR="00247070">
        <w:t xml:space="preserve">El Comité </w:t>
      </w:r>
      <w:r w:rsidR="00247070">
        <w:rPr>
          <w:bCs/>
          <w:lang w:val="es-MX"/>
        </w:rPr>
        <w:t>destaca la resolución 68/268 en la cual la Asamblea General “</w:t>
      </w:r>
      <w:r w:rsidR="00247070">
        <w:rPr>
          <w:bCs/>
          <w:i/>
          <w:iCs/>
          <w:lang w:val="es-MX"/>
        </w:rPr>
        <w:t xml:space="preserve">Condena enérgicamente </w:t>
      </w:r>
      <w:r w:rsidR="00247070">
        <w:rPr>
          <w:bCs/>
          <w:lang w:val="es-MX"/>
        </w:rPr>
        <w:t>todos los actos de intimidación y todas las represalias contra las personas y los grupos que contribuyen a la labor de los órganos creados en virtud de tratados de derechos humanos, e insta a los Estados a que adopten las medidas necesarias… para prevenir y eliminar esas violaciones de los derechos humanos…”</w:t>
      </w:r>
    </w:p>
    <w:p w:rsidR="00247070" w:rsidRPr="009E591D" w:rsidRDefault="00247070" w:rsidP="00247070">
      <w:pPr>
        <w:pStyle w:val="SingleTxtG"/>
        <w:rPr>
          <w:b/>
          <w:bCs/>
          <w:lang w:val="es-MX"/>
        </w:rPr>
      </w:pPr>
      <w:r>
        <w:rPr>
          <w:b/>
          <w:bCs/>
          <w:lang w:val="es-MX"/>
        </w:rPr>
        <w:t>El Comité</w:t>
      </w:r>
      <w:r w:rsidRPr="00DC12A9">
        <w:rPr>
          <w:b/>
          <w:bCs/>
          <w:lang w:val="es-MX"/>
        </w:rPr>
        <w:t xml:space="preserve">, reiterando los llamados que hizo durante el diálogo constructivo al respecto, urge al Estado parte a adoptar todas las medidas necesarias para proteger a las personas que han </w:t>
      </w:r>
      <w:r w:rsidR="009C4459">
        <w:rPr>
          <w:b/>
          <w:bCs/>
          <w:lang w:val="es-MX"/>
        </w:rPr>
        <w:t>contribuido a la labor</w:t>
      </w:r>
      <w:r w:rsidR="009C4459" w:rsidRPr="00DC12A9">
        <w:rPr>
          <w:b/>
          <w:bCs/>
          <w:lang w:val="es-MX"/>
        </w:rPr>
        <w:t xml:space="preserve"> </w:t>
      </w:r>
      <w:r w:rsidR="009C4459">
        <w:rPr>
          <w:b/>
          <w:bCs/>
          <w:lang w:val="es-MX"/>
        </w:rPr>
        <w:t>d</w:t>
      </w:r>
      <w:r w:rsidRPr="00DC12A9">
        <w:rPr>
          <w:b/>
          <w:bCs/>
          <w:lang w:val="es-MX"/>
        </w:rPr>
        <w:t xml:space="preserve">el Comité y a cesar todo tipo de declaración descalificatoria en su contra por parte de </w:t>
      </w:r>
      <w:r w:rsidR="005E63EC" w:rsidRPr="00DC12A9">
        <w:rPr>
          <w:b/>
          <w:bCs/>
          <w:lang w:val="es-MX"/>
        </w:rPr>
        <w:t>agentes estatales</w:t>
      </w:r>
      <w:r w:rsidRPr="00DC12A9">
        <w:rPr>
          <w:b/>
          <w:bCs/>
          <w:lang w:val="es-MX"/>
        </w:rPr>
        <w:t xml:space="preserve">. </w:t>
      </w:r>
      <w:r w:rsidRPr="00357584">
        <w:rPr>
          <w:b/>
          <w:bCs/>
          <w:lang w:val="es-MX"/>
        </w:rPr>
        <w:t>Asimismo, le solicita que informe sobre las medidas adoptadas a este respecto.</w:t>
      </w:r>
      <w:r w:rsidRPr="009E591D">
        <w:rPr>
          <w:b/>
          <w:bCs/>
          <w:lang w:val="es-MX"/>
        </w:rPr>
        <w:t xml:space="preserve"> </w:t>
      </w:r>
    </w:p>
    <w:p w:rsidR="00110D46" w:rsidRDefault="00247070" w:rsidP="00E12E19">
      <w:pPr>
        <w:pStyle w:val="H23G"/>
      </w:pPr>
      <w:r>
        <w:tab/>
      </w:r>
      <w:r>
        <w:tab/>
      </w:r>
      <w:r w:rsidR="008F7EDD">
        <w:t>L</w:t>
      </w:r>
      <w:r w:rsidR="00E12E19">
        <w:t>ibertad de</w:t>
      </w:r>
      <w:r w:rsidR="0028122F">
        <w:t xml:space="preserve"> expresión</w:t>
      </w:r>
      <w:r w:rsidR="00110D46">
        <w:t xml:space="preserve"> </w:t>
      </w:r>
    </w:p>
    <w:p w:rsidR="004A4DE6" w:rsidRDefault="00001A96" w:rsidP="00001A96">
      <w:pPr>
        <w:pStyle w:val="SingleTxtG"/>
      </w:pPr>
      <w:r>
        <w:t>19.</w:t>
      </w:r>
      <w:r>
        <w:tab/>
      </w:r>
      <w:r w:rsidR="0038703C">
        <w:t>El Comité</w:t>
      </w:r>
      <w:r w:rsidR="00A8592F">
        <w:t xml:space="preserve"> toma nota de la </w:t>
      </w:r>
      <w:r w:rsidR="009C4459">
        <w:t xml:space="preserve">vasta </w:t>
      </w:r>
      <w:r w:rsidR="00E612CC">
        <w:t xml:space="preserve">información proporcionada por </w:t>
      </w:r>
      <w:r w:rsidR="00677999">
        <w:t>el Estado parte</w:t>
      </w:r>
      <w:r w:rsidR="00E612CC">
        <w:t xml:space="preserve"> respecto de la situación de la libertad de expresi</w:t>
      </w:r>
      <w:r w:rsidR="004D7AFD">
        <w:t>ón en el Estado parte</w:t>
      </w:r>
      <w:r w:rsidR="0098367E">
        <w:t>. Sin embargo</w:t>
      </w:r>
      <w:r w:rsidR="00C17C3C" w:rsidRPr="00CD5569">
        <w:t xml:space="preserve">, </w:t>
      </w:r>
      <w:r w:rsidR="00CD5569" w:rsidRPr="00CD5569">
        <w:t xml:space="preserve">le preocupan los informes que dan cuenta de una serie de disposiciones y prácticas que podrían tener el efecto de desalentar la expresión de posiciones críticas o la publicación de información crítica en los medios de comunicación y redes sociales sobre asuntos de interés público y que podrían afectar negativamente al ejercicio del derecho a la libertad de expresión, incluyendo normas que criminalizan la difamación y a quienes ofendieren o irrespetaren al Presidente u otros funcionarios de alto </w:t>
      </w:r>
      <w:r w:rsidR="00CD5569" w:rsidRPr="00F6173E">
        <w:t>rango</w:t>
      </w:r>
      <w:r w:rsidR="00E067DC" w:rsidRPr="00F6173E">
        <w:t xml:space="preserve"> y el </w:t>
      </w:r>
      <w:r w:rsidR="00E067DC" w:rsidRPr="00F6173E">
        <w:rPr>
          <w:lang w:val="es-MX"/>
        </w:rPr>
        <w:t xml:space="preserve">extendido monitoreo del contenido difundido por los medios de comunicación realizado por </w:t>
      </w:r>
      <w:r w:rsidR="009C4459">
        <w:rPr>
          <w:lang w:val="es-MX"/>
        </w:rPr>
        <w:t>la Comisión Nacional de Telecomunicaciones</w:t>
      </w:r>
      <w:r w:rsidR="00CD5569" w:rsidRPr="00CD5569">
        <w:t>.</w:t>
      </w:r>
      <w:r w:rsidR="00CD5569" w:rsidRPr="00CD5569">
        <w:rPr>
          <w:lang w:val="es-MX"/>
        </w:rPr>
        <w:t xml:space="preserve"> </w:t>
      </w:r>
      <w:r w:rsidR="00953415">
        <w:rPr>
          <w:lang w:val="es-MX"/>
        </w:rPr>
        <w:t>E</w:t>
      </w:r>
      <w:r w:rsidR="008E0657" w:rsidRPr="00137988">
        <w:rPr>
          <w:lang w:val="es-MX"/>
        </w:rPr>
        <w:t xml:space="preserve">l Comité </w:t>
      </w:r>
      <w:r w:rsidR="00953415">
        <w:rPr>
          <w:lang w:val="es-MX"/>
        </w:rPr>
        <w:t xml:space="preserve">también </w:t>
      </w:r>
      <w:r w:rsidR="008E0657" w:rsidRPr="00137988">
        <w:rPr>
          <w:lang w:val="es-MX"/>
        </w:rPr>
        <w:t xml:space="preserve">expresa su preocupación por la información sobre </w:t>
      </w:r>
      <w:r w:rsidR="00093E9A">
        <w:rPr>
          <w:lang w:val="es-MX"/>
        </w:rPr>
        <w:t xml:space="preserve">el limitado acceso </w:t>
      </w:r>
      <w:r w:rsidR="00F97809">
        <w:t>a la información</w:t>
      </w:r>
      <w:r w:rsidR="00093E9A">
        <w:t xml:space="preserve"> de interés</w:t>
      </w:r>
      <w:r w:rsidR="00F97809">
        <w:t xml:space="preserve"> públic</w:t>
      </w:r>
      <w:r w:rsidR="00093E9A">
        <w:t>o</w:t>
      </w:r>
      <w:r w:rsidR="00E010E9">
        <w:t xml:space="preserve"> </w:t>
      </w:r>
      <w:r w:rsidR="00B05ED3" w:rsidRPr="00B05ED3">
        <w:t>(art</w:t>
      </w:r>
      <w:r w:rsidR="002F1BF3">
        <w:t>s</w:t>
      </w:r>
      <w:r w:rsidR="00B05ED3" w:rsidRPr="00B05ED3">
        <w:t>. 19</w:t>
      </w:r>
      <w:r w:rsidR="00C967F5">
        <w:t>, 20</w:t>
      </w:r>
      <w:r w:rsidR="002F1BF3">
        <w:t xml:space="preserve"> </w:t>
      </w:r>
      <w:r w:rsidR="00C967F5">
        <w:t>y</w:t>
      </w:r>
      <w:r w:rsidR="002F1BF3">
        <w:t xml:space="preserve"> </w:t>
      </w:r>
      <w:r w:rsidR="002F1BF3" w:rsidRPr="00F6173E">
        <w:t>2</w:t>
      </w:r>
      <w:r w:rsidR="00950842">
        <w:t>5</w:t>
      </w:r>
      <w:r w:rsidR="00B05ED3" w:rsidRPr="00B05ED3">
        <w:t>)</w:t>
      </w:r>
      <w:r w:rsidR="00093E9A">
        <w:t>.</w:t>
      </w:r>
    </w:p>
    <w:p w:rsidR="00095455" w:rsidRDefault="00095455" w:rsidP="00095455">
      <w:pPr>
        <w:pStyle w:val="SingleTxtG"/>
      </w:pPr>
      <w:r>
        <w:rPr>
          <w:b/>
          <w:bCs/>
        </w:rPr>
        <w:t xml:space="preserve">El Estado parte debe adoptar todas las medidas necesarias </w:t>
      </w:r>
      <w:r w:rsidR="00796855">
        <w:rPr>
          <w:b/>
          <w:bCs/>
        </w:rPr>
        <w:t>con miras a</w:t>
      </w:r>
      <w:r>
        <w:rPr>
          <w:b/>
          <w:bCs/>
        </w:rPr>
        <w:t xml:space="preserve"> </w:t>
      </w:r>
      <w:r w:rsidRPr="00095455">
        <w:rPr>
          <w:b/>
          <w:bCs/>
        </w:rPr>
        <w:t xml:space="preserve">garantizar </w:t>
      </w:r>
      <w:r w:rsidR="00796855">
        <w:rPr>
          <w:b/>
          <w:bCs/>
        </w:rPr>
        <w:t>el pleno y efectivo ejercicio de</w:t>
      </w:r>
      <w:r w:rsidRPr="00095455">
        <w:rPr>
          <w:b/>
          <w:bCs/>
        </w:rPr>
        <w:t>l</w:t>
      </w:r>
      <w:r w:rsidR="00714F3B">
        <w:rPr>
          <w:b/>
          <w:bCs/>
        </w:rPr>
        <w:t xml:space="preserve"> derecho </w:t>
      </w:r>
      <w:r w:rsidRPr="00095455">
        <w:rPr>
          <w:b/>
          <w:bCs/>
        </w:rPr>
        <w:t>a</w:t>
      </w:r>
      <w:r w:rsidR="00714F3B">
        <w:rPr>
          <w:b/>
          <w:bCs/>
        </w:rPr>
        <w:t xml:space="preserve"> la</w:t>
      </w:r>
      <w:r w:rsidRPr="00095455">
        <w:rPr>
          <w:b/>
          <w:bCs/>
        </w:rPr>
        <w:t xml:space="preserve"> libertad de expresión y la libertad de prensa consagradas en el artículo 19 del Pacto. </w:t>
      </w:r>
      <w:r w:rsidR="00796855">
        <w:rPr>
          <w:b/>
          <w:bCs/>
        </w:rPr>
        <w:t xml:space="preserve">En particular, </w:t>
      </w:r>
      <w:r w:rsidRPr="00095455">
        <w:rPr>
          <w:b/>
          <w:bCs/>
        </w:rPr>
        <w:t>debe</w:t>
      </w:r>
      <w:r w:rsidR="00796855">
        <w:rPr>
          <w:b/>
          <w:bCs/>
        </w:rPr>
        <w:t xml:space="preserve"> adoptar medidas para</w:t>
      </w:r>
      <w:r>
        <w:rPr>
          <w:b/>
          <w:bCs/>
        </w:rPr>
        <w:t>:</w:t>
      </w:r>
    </w:p>
    <w:p w:rsidR="004F05A6" w:rsidRPr="008F762B" w:rsidRDefault="008F762B" w:rsidP="008F762B">
      <w:pPr>
        <w:pStyle w:val="SingleTxtG"/>
        <w:rPr>
          <w:b/>
        </w:rPr>
      </w:pPr>
      <w:r>
        <w:rPr>
          <w:b/>
        </w:rPr>
        <w:tab/>
        <w:t>a)</w:t>
      </w:r>
      <w:r>
        <w:rPr>
          <w:b/>
        </w:rPr>
        <w:tab/>
      </w:r>
      <w:r w:rsidR="004F05A6" w:rsidRPr="008F762B">
        <w:rPr>
          <w:b/>
        </w:rPr>
        <w:t xml:space="preserve">Asegurar que </w:t>
      </w:r>
      <w:r w:rsidR="0038703C" w:rsidRPr="008F762B">
        <w:rPr>
          <w:b/>
        </w:rPr>
        <w:t xml:space="preserve">su legislación </w:t>
      </w:r>
      <w:r w:rsidR="004F05A6" w:rsidRPr="008F762B">
        <w:rPr>
          <w:b/>
        </w:rPr>
        <w:t>sea plenamente compatible con el artículo 19 del Pacto</w:t>
      </w:r>
      <w:r w:rsidR="004925CB" w:rsidRPr="008F762B">
        <w:rPr>
          <w:b/>
        </w:rPr>
        <w:t>;</w:t>
      </w:r>
      <w:r w:rsidR="001622AF" w:rsidRPr="008F762B">
        <w:rPr>
          <w:b/>
        </w:rPr>
        <w:t xml:space="preserve"> que</w:t>
      </w:r>
      <w:r w:rsidR="00165270" w:rsidRPr="008F762B">
        <w:rPr>
          <w:b/>
        </w:rPr>
        <w:t xml:space="preserve"> cualquier restricción del ejercicio de la libertad de expresión</w:t>
      </w:r>
      <w:r w:rsidR="009C4459">
        <w:rPr>
          <w:b/>
        </w:rPr>
        <w:t>, incluyendo el ejercicio de las potestades de monitoreo,</w:t>
      </w:r>
      <w:r w:rsidR="00165270" w:rsidRPr="008F762B">
        <w:rPr>
          <w:b/>
        </w:rPr>
        <w:t xml:space="preserve"> cumpla plenamente con las estrictas exigencias estableci</w:t>
      </w:r>
      <w:r w:rsidR="001622AF" w:rsidRPr="008F762B">
        <w:rPr>
          <w:b/>
        </w:rPr>
        <w:t>d</w:t>
      </w:r>
      <w:r w:rsidR="00165270" w:rsidRPr="008F762B">
        <w:rPr>
          <w:b/>
        </w:rPr>
        <w:t>as en el artículo 19, apartado 3, del Pacto</w:t>
      </w:r>
      <w:r w:rsidR="001622AF" w:rsidRPr="008F762B">
        <w:rPr>
          <w:b/>
        </w:rPr>
        <w:t xml:space="preserve"> y desarrolladas en la Observación general Nº 34 (2011) del Comité sobre libertad de opinión y libertad de expresión</w:t>
      </w:r>
      <w:r w:rsidR="004925CB" w:rsidRPr="008F762B">
        <w:rPr>
          <w:b/>
        </w:rPr>
        <w:t>;</w:t>
      </w:r>
      <w:r w:rsidR="001622AF" w:rsidRPr="008F762B">
        <w:rPr>
          <w:b/>
        </w:rPr>
        <w:t xml:space="preserve"> y que </w:t>
      </w:r>
      <w:r w:rsidR="00D30471" w:rsidRPr="008F762B">
        <w:rPr>
          <w:b/>
        </w:rPr>
        <w:t xml:space="preserve">las autoridades encargadas </w:t>
      </w:r>
      <w:r w:rsidR="001622AF" w:rsidRPr="008F762B">
        <w:rPr>
          <w:b/>
        </w:rPr>
        <w:t xml:space="preserve">de aplicar las leyes relativas al ejercicio de la libertad de expresión </w:t>
      </w:r>
      <w:r w:rsidR="004925CB" w:rsidRPr="008F762B">
        <w:rPr>
          <w:b/>
        </w:rPr>
        <w:t>ejerzan</w:t>
      </w:r>
      <w:r w:rsidR="001622AF" w:rsidRPr="008F762B">
        <w:rPr>
          <w:b/>
        </w:rPr>
        <w:t xml:space="preserve"> su mandato de manera independiente </w:t>
      </w:r>
      <w:r w:rsidR="007D0FD3" w:rsidRPr="008F762B">
        <w:rPr>
          <w:b/>
        </w:rPr>
        <w:t>e imparcial</w:t>
      </w:r>
      <w:r w:rsidR="004F05A6" w:rsidRPr="008F762B">
        <w:rPr>
          <w:b/>
        </w:rPr>
        <w:t>;</w:t>
      </w:r>
    </w:p>
    <w:p w:rsidR="0038703C" w:rsidRPr="008F762B" w:rsidRDefault="008F762B" w:rsidP="008F762B">
      <w:pPr>
        <w:pStyle w:val="SingleTxtG"/>
        <w:rPr>
          <w:b/>
        </w:rPr>
      </w:pPr>
      <w:r>
        <w:rPr>
          <w:b/>
        </w:rPr>
        <w:tab/>
        <w:t>b)</w:t>
      </w:r>
      <w:r>
        <w:rPr>
          <w:b/>
        </w:rPr>
        <w:tab/>
      </w:r>
      <w:r w:rsidR="00707366" w:rsidRPr="008F762B">
        <w:rPr>
          <w:b/>
        </w:rPr>
        <w:t xml:space="preserve">Considerar la posibilidad de despenalizar la difamación así como </w:t>
      </w:r>
      <w:r w:rsidR="00B96303" w:rsidRPr="008F762B">
        <w:rPr>
          <w:b/>
        </w:rPr>
        <w:t xml:space="preserve">aquellas </w:t>
      </w:r>
      <w:r w:rsidR="00707366" w:rsidRPr="008F762B">
        <w:rPr>
          <w:b/>
        </w:rPr>
        <w:t xml:space="preserve">figuras </w:t>
      </w:r>
      <w:r w:rsidR="00B96303" w:rsidRPr="008F762B">
        <w:rPr>
          <w:b/>
        </w:rPr>
        <w:t xml:space="preserve">que prevén sanciones penales para quienes ofendieren o irrespetaren al Presidente u otros funcionarios de alto rango </w:t>
      </w:r>
      <w:r w:rsidR="00F6173E" w:rsidRPr="008F762B">
        <w:rPr>
          <w:b/>
        </w:rPr>
        <w:t xml:space="preserve">u otras figuras similares </w:t>
      </w:r>
      <w:r w:rsidR="00707366" w:rsidRPr="008F762B">
        <w:rPr>
          <w:b/>
        </w:rPr>
        <w:t>y debería, en todo caso, restringir la aplicación de la ley penal a los casos más graves, teniendo en cuenta que la pena de prisión nunca es un castigo adecuado en esos casos</w:t>
      </w:r>
      <w:r w:rsidR="00F6173E" w:rsidRPr="008F762B">
        <w:rPr>
          <w:b/>
        </w:rPr>
        <w:t>;</w:t>
      </w:r>
    </w:p>
    <w:p w:rsidR="0038703C" w:rsidRPr="008F762B" w:rsidRDefault="008F762B" w:rsidP="008F762B">
      <w:pPr>
        <w:pStyle w:val="SingleTxtG"/>
      </w:pPr>
      <w:r>
        <w:rPr>
          <w:b/>
        </w:rPr>
        <w:lastRenderedPageBreak/>
        <w:tab/>
        <w:t>c)</w:t>
      </w:r>
      <w:r>
        <w:rPr>
          <w:b/>
        </w:rPr>
        <w:tab/>
      </w:r>
      <w:r w:rsidR="00372EBE" w:rsidRPr="008F762B">
        <w:rPr>
          <w:b/>
        </w:rPr>
        <w:t>Garantizar</w:t>
      </w:r>
      <w:r w:rsidR="00EF5167" w:rsidRPr="008F762B">
        <w:rPr>
          <w:b/>
        </w:rPr>
        <w:t xml:space="preserve"> un acceso fácil, rápido, efectivo y práctico a </w:t>
      </w:r>
      <w:r w:rsidR="00D86D4D" w:rsidRPr="008F762B">
        <w:rPr>
          <w:b/>
        </w:rPr>
        <w:t>la</w:t>
      </w:r>
      <w:r w:rsidR="009E591D" w:rsidRPr="008F762B">
        <w:rPr>
          <w:b/>
        </w:rPr>
        <w:t xml:space="preserve"> información</w:t>
      </w:r>
      <w:r w:rsidR="00D86D4D" w:rsidRPr="008F762B">
        <w:rPr>
          <w:b/>
        </w:rPr>
        <w:t xml:space="preserve"> de interés público</w:t>
      </w:r>
      <w:r w:rsidR="00126D0C" w:rsidRPr="008F762B">
        <w:t>.</w:t>
      </w:r>
    </w:p>
    <w:p w:rsidR="008F7EDD" w:rsidRDefault="004A4DE6" w:rsidP="00E12E19">
      <w:pPr>
        <w:pStyle w:val="H23G"/>
      </w:pPr>
      <w:r>
        <w:tab/>
      </w:r>
      <w:r>
        <w:tab/>
      </w:r>
      <w:r w:rsidR="008F7EDD">
        <w:t>Libertad de reunión pacífica y libertad de asociación</w:t>
      </w:r>
    </w:p>
    <w:p w:rsidR="00CB3FD4" w:rsidRPr="00CB3FD4" w:rsidRDefault="00001A96" w:rsidP="00001A96">
      <w:pPr>
        <w:pStyle w:val="SingleTxtG"/>
      </w:pPr>
      <w:r w:rsidRPr="00CB3FD4">
        <w:t>20.</w:t>
      </w:r>
      <w:r w:rsidRPr="00CB3FD4">
        <w:tab/>
      </w:r>
      <w:r w:rsidR="008F7EDD" w:rsidRPr="008F7EDD">
        <w:t xml:space="preserve">El Comité está preocupado por informes relativos a la </w:t>
      </w:r>
      <w:r w:rsidR="00B15EE6">
        <w:t>existencia d</w:t>
      </w:r>
      <w:r w:rsidR="008F7EDD" w:rsidRPr="008F7EDD">
        <w:t xml:space="preserve">e una serie de </w:t>
      </w:r>
      <w:r w:rsidR="00B15EE6">
        <w:t>normas</w:t>
      </w:r>
      <w:r w:rsidR="00367191">
        <w:t>, incluidas algunas de las contenidas en la Ley Orgánica de Seguridad Nacional</w:t>
      </w:r>
      <w:r w:rsidR="00B456F4">
        <w:t xml:space="preserve">, </w:t>
      </w:r>
      <w:r w:rsidR="008F7EDD" w:rsidRPr="008F7EDD">
        <w:t>que</w:t>
      </w:r>
      <w:r w:rsidR="00942C58">
        <w:t xml:space="preserve"> </w:t>
      </w:r>
      <w:r w:rsidR="00D32735">
        <w:t xml:space="preserve"> </w:t>
      </w:r>
      <w:r w:rsidR="008F7EDD" w:rsidRPr="008F7EDD">
        <w:t>podrían incidir negativamente en el ejercicio del derecho a la libertad de reunión pacífica</w:t>
      </w:r>
      <w:r w:rsidR="00367191">
        <w:t xml:space="preserve"> en la práctica</w:t>
      </w:r>
      <w:r w:rsidR="00CE10AF">
        <w:t>.</w:t>
      </w:r>
      <w:r w:rsidR="007E0DCF">
        <w:t xml:space="preserve"> Asimismo, </w:t>
      </w:r>
      <w:r w:rsidR="00CE10AF">
        <w:t xml:space="preserve">lamenta la falta de claridad acerca de la necesidad de solicitar una autorización antes de realizar una reunión pública o manifestación </w:t>
      </w:r>
      <w:r w:rsidR="00367191">
        <w:t xml:space="preserve">y la situación en la práctica </w:t>
      </w:r>
      <w:r w:rsidR="00CE10AF">
        <w:t>ya que</w:t>
      </w:r>
      <w:r w:rsidR="007E0DCF">
        <w:t xml:space="preserve">, </w:t>
      </w:r>
      <w:r w:rsidR="00CE10AF">
        <w:t xml:space="preserve">mientras el Estado parte </w:t>
      </w:r>
      <w:r w:rsidR="001D4505">
        <w:t>informó</w:t>
      </w:r>
      <w:r w:rsidR="00CE10AF">
        <w:t xml:space="preserve"> que l</w:t>
      </w:r>
      <w:r w:rsidR="002F4DDC">
        <w:t>a participación que deben realizar lo</w:t>
      </w:r>
      <w:r w:rsidR="00CE10AF">
        <w:t xml:space="preserve">s organizadores </w:t>
      </w:r>
      <w:r w:rsidR="002F4DDC">
        <w:t>ante</w:t>
      </w:r>
      <w:r w:rsidR="00CE10AF">
        <w:t xml:space="preserve"> las autoridades correspondientes no constituye una solicitud de autorización, el Comité </w:t>
      </w:r>
      <w:r w:rsidR="00F40701">
        <w:t xml:space="preserve">observa </w:t>
      </w:r>
      <w:r w:rsidR="00CE10AF">
        <w:t>que</w:t>
      </w:r>
      <w:r w:rsidR="00F40701">
        <w:t>,</w:t>
      </w:r>
      <w:r w:rsidR="00CE10AF">
        <w:t xml:space="preserve"> en su sentencia </w:t>
      </w:r>
      <w:r w:rsidR="00F40701">
        <w:t xml:space="preserve">del 24 de abril de 2014, la Sala Constitucional del Tribunal Supremo de Justicia </w:t>
      </w:r>
      <w:r w:rsidR="00D32735" w:rsidRPr="00BE6CBE">
        <w:t>establec</w:t>
      </w:r>
      <w:r w:rsidR="00F40701">
        <w:t>ió</w:t>
      </w:r>
      <w:r w:rsidR="00D32735" w:rsidRPr="00BE6CBE">
        <w:t xml:space="preserve"> que </w:t>
      </w:r>
      <w:r w:rsidR="00DD678D">
        <w:t>“</w:t>
      </w:r>
      <w:r w:rsidR="00DD678D">
        <w:rPr>
          <w:lang w:val="es-ES_tradnl"/>
        </w:rPr>
        <w:t>resulta obligatorio…</w:t>
      </w:r>
      <w:r w:rsidR="00DD678D" w:rsidRPr="00DD678D">
        <w:rPr>
          <w:lang w:val="es-VE"/>
        </w:rPr>
        <w:t xml:space="preserve"> agotar el procedimiento administrativo de autorización</w:t>
      </w:r>
      <w:r w:rsidR="007E0DCF">
        <w:rPr>
          <w:lang w:val="es-VE"/>
        </w:rPr>
        <w:t>”.</w:t>
      </w:r>
      <w:r w:rsidR="00116824">
        <w:t xml:space="preserve"> </w:t>
      </w:r>
      <w:r w:rsidR="007E0DCF">
        <w:t xml:space="preserve">Le preocupa también </w:t>
      </w:r>
      <w:r w:rsidR="001D4505">
        <w:t>la información r</w:t>
      </w:r>
      <w:r w:rsidR="007E0DCF">
        <w:t>elativ</w:t>
      </w:r>
      <w:r w:rsidR="001D4505">
        <w:t>a</w:t>
      </w:r>
      <w:r w:rsidR="007E0DCF">
        <w:t xml:space="preserve"> a</w:t>
      </w:r>
      <w:r w:rsidR="00116824">
        <w:t xml:space="preserve"> la adopción de algunas medidas que podrían obstaculizar el pleno ejercicio del derecho a la libertad de asociación</w:t>
      </w:r>
      <w:r w:rsidR="00367191">
        <w:t>. Al respecto, lamenta la falta de claridad acerca del alcance del concepto de</w:t>
      </w:r>
      <w:r w:rsidR="00367191" w:rsidRPr="00116824">
        <w:t xml:space="preserve"> </w:t>
      </w:r>
      <w:r w:rsidR="00367191">
        <w:t xml:space="preserve">“organizaciones </w:t>
      </w:r>
      <w:r w:rsidR="00367191" w:rsidRPr="00116824">
        <w:t>para la defensa de los derechos políticos</w:t>
      </w:r>
      <w:r w:rsidR="00367191">
        <w:t xml:space="preserve">” y, en consecuencia, acerca de si </w:t>
      </w:r>
      <w:r w:rsidR="00FA3525">
        <w:t>las</w:t>
      </w:r>
      <w:r w:rsidR="00116824">
        <w:t xml:space="preserve"> </w:t>
      </w:r>
      <w:r w:rsidR="00CB3FD4" w:rsidRPr="00116824">
        <w:t xml:space="preserve">restricciones al financiamiento </w:t>
      </w:r>
      <w:r w:rsidR="00367191">
        <w:t xml:space="preserve">extranjero </w:t>
      </w:r>
      <w:r w:rsidR="00CB3FD4" w:rsidRPr="00116824">
        <w:t xml:space="preserve">de las </w:t>
      </w:r>
      <w:r w:rsidR="00367191">
        <w:t xml:space="preserve">mismas </w:t>
      </w:r>
      <w:r w:rsidR="00FE7DA5">
        <w:t xml:space="preserve">en </w:t>
      </w:r>
      <w:r w:rsidR="00367191">
        <w:t xml:space="preserve">virtud de </w:t>
      </w:r>
      <w:r w:rsidR="00FE7DA5">
        <w:t xml:space="preserve">la Ley de Defensa de la Soberanía Política y Autodeterminación </w:t>
      </w:r>
      <w:r w:rsidR="00B15EE6">
        <w:t xml:space="preserve">Nacional </w:t>
      </w:r>
      <w:r w:rsidR="00367191">
        <w:t>podrían tener algún impacto en el trabajo de las organizaciones de derechos humanos</w:t>
      </w:r>
      <w:r w:rsidR="00110ACD">
        <w:t xml:space="preserve">. </w:t>
      </w:r>
      <w:r w:rsidR="00D62CA7" w:rsidRPr="00110ACD">
        <w:t xml:space="preserve">El Comité lamenta no haber recibido </w:t>
      </w:r>
      <w:r w:rsidR="00510C2E" w:rsidRPr="00110ACD">
        <w:t>clarificaciones</w:t>
      </w:r>
      <w:r w:rsidR="00D62CA7" w:rsidRPr="00110ACD">
        <w:t xml:space="preserve"> acerca de las implicancias </w:t>
      </w:r>
      <w:r w:rsidR="00510C2E" w:rsidRPr="00110ACD">
        <w:t xml:space="preserve">que tendría para las </w:t>
      </w:r>
      <w:r w:rsidR="00510C2E" w:rsidRPr="00110ACD">
        <w:rPr>
          <w:bCs/>
        </w:rPr>
        <w:t xml:space="preserve">personas jurídicas </w:t>
      </w:r>
      <w:r w:rsidR="00510C2E" w:rsidRPr="00110ACD">
        <w:t xml:space="preserve">su </w:t>
      </w:r>
      <w:r w:rsidR="008579C3" w:rsidRPr="00110ACD">
        <w:t>inscripción</w:t>
      </w:r>
      <w:r w:rsidR="00510C2E" w:rsidRPr="00110ACD">
        <w:t xml:space="preserve"> </w:t>
      </w:r>
      <w:r w:rsidR="00510C2E" w:rsidRPr="00110ACD">
        <w:rPr>
          <w:bCs/>
        </w:rPr>
        <w:t>en el Registro para la Defensa Integral</w:t>
      </w:r>
      <w:r w:rsidR="00116824">
        <w:t xml:space="preserve"> (arts. 21 y 22).</w:t>
      </w:r>
    </w:p>
    <w:p w:rsidR="00110ACD" w:rsidRPr="00110ACD" w:rsidRDefault="008F7EDD" w:rsidP="00753655">
      <w:pPr>
        <w:pStyle w:val="SingleTxtG"/>
      </w:pPr>
      <w:r w:rsidRPr="008F7EDD">
        <w:rPr>
          <w:b/>
          <w:bCs/>
          <w:lang w:val="es-MX"/>
        </w:rPr>
        <w:t xml:space="preserve">El Estado parte debe adoptar las medidas necesarias para garantizar que todas las personas que se encuentren bajo su jurisdicción </w:t>
      </w:r>
      <w:r w:rsidR="00BE6CBE">
        <w:rPr>
          <w:b/>
          <w:bCs/>
          <w:lang w:val="es-MX"/>
        </w:rPr>
        <w:t>puedan gozar</w:t>
      </w:r>
      <w:r w:rsidRPr="008F7EDD">
        <w:rPr>
          <w:b/>
          <w:bCs/>
          <w:lang w:val="es-MX"/>
        </w:rPr>
        <w:t xml:space="preserve"> plenamente de su derechos a la libertad de reunión pacífica y a la libertad de asociación</w:t>
      </w:r>
      <w:r w:rsidR="00BE6CBE">
        <w:rPr>
          <w:b/>
          <w:bCs/>
          <w:lang w:val="es-MX"/>
        </w:rPr>
        <w:t xml:space="preserve"> y que</w:t>
      </w:r>
      <w:r w:rsidRPr="008F7EDD">
        <w:rPr>
          <w:b/>
          <w:bCs/>
          <w:lang w:val="es-MX"/>
        </w:rPr>
        <w:t xml:space="preserve"> el ejercicio de est</w:t>
      </w:r>
      <w:r w:rsidR="00FB55D1">
        <w:rPr>
          <w:b/>
          <w:bCs/>
          <w:lang w:val="es-MX"/>
        </w:rPr>
        <w:t>os</w:t>
      </w:r>
      <w:r w:rsidRPr="008F7EDD">
        <w:rPr>
          <w:b/>
          <w:bCs/>
          <w:lang w:val="es-MX"/>
        </w:rPr>
        <w:t xml:space="preserve"> derecho</w:t>
      </w:r>
      <w:r w:rsidR="00FB55D1">
        <w:rPr>
          <w:b/>
          <w:bCs/>
          <w:lang w:val="es-MX"/>
        </w:rPr>
        <w:t>s</w:t>
      </w:r>
      <w:r w:rsidRPr="008F7EDD">
        <w:rPr>
          <w:b/>
          <w:bCs/>
          <w:lang w:val="es-MX"/>
        </w:rPr>
        <w:t xml:space="preserve"> esté sometido únicamente a restricciones que se ajusten a los requisitos </w:t>
      </w:r>
      <w:r w:rsidR="00510B7E" w:rsidRPr="008F7EDD">
        <w:rPr>
          <w:b/>
          <w:bCs/>
          <w:lang w:val="es-MX"/>
        </w:rPr>
        <w:t xml:space="preserve">estrictos </w:t>
      </w:r>
      <w:r w:rsidRPr="008F7EDD">
        <w:rPr>
          <w:b/>
          <w:bCs/>
          <w:lang w:val="es-MX"/>
        </w:rPr>
        <w:t>de</w:t>
      </w:r>
      <w:r w:rsidR="00FB55D1">
        <w:rPr>
          <w:b/>
          <w:bCs/>
          <w:lang w:val="es-MX"/>
        </w:rPr>
        <w:t xml:space="preserve"> </w:t>
      </w:r>
      <w:r w:rsidRPr="008F7EDD">
        <w:rPr>
          <w:b/>
          <w:bCs/>
          <w:lang w:val="es-MX"/>
        </w:rPr>
        <w:t>l</w:t>
      </w:r>
      <w:r w:rsidR="00FB55D1">
        <w:rPr>
          <w:b/>
          <w:bCs/>
          <w:lang w:val="es-MX"/>
        </w:rPr>
        <w:t>os</w:t>
      </w:r>
      <w:r w:rsidRPr="008F7EDD">
        <w:rPr>
          <w:b/>
          <w:bCs/>
          <w:lang w:val="es-MX"/>
        </w:rPr>
        <w:t xml:space="preserve"> artículo</w:t>
      </w:r>
      <w:r w:rsidR="00FB55D1">
        <w:rPr>
          <w:b/>
          <w:bCs/>
          <w:lang w:val="es-MX"/>
        </w:rPr>
        <w:t>s</w:t>
      </w:r>
      <w:r w:rsidRPr="008F7EDD">
        <w:rPr>
          <w:b/>
          <w:bCs/>
          <w:lang w:val="es-MX"/>
        </w:rPr>
        <w:t xml:space="preserve"> 21</w:t>
      </w:r>
      <w:r w:rsidR="00FB55D1">
        <w:rPr>
          <w:b/>
          <w:bCs/>
          <w:lang w:val="es-MX"/>
        </w:rPr>
        <w:t xml:space="preserve"> y 22</w:t>
      </w:r>
      <w:r w:rsidR="00BE6CBE">
        <w:rPr>
          <w:b/>
          <w:bCs/>
          <w:lang w:val="es-MX"/>
        </w:rPr>
        <w:t xml:space="preserve"> del Pacto.</w:t>
      </w:r>
    </w:p>
    <w:p w:rsidR="00E12E19" w:rsidRDefault="00110ACD" w:rsidP="00E12E19">
      <w:pPr>
        <w:pStyle w:val="H23G"/>
      </w:pPr>
      <w:r>
        <w:tab/>
      </w:r>
      <w:r>
        <w:tab/>
      </w:r>
      <w:r w:rsidR="00E12E19">
        <w:t xml:space="preserve">Derechos de </w:t>
      </w:r>
      <w:r w:rsidR="004C12C3">
        <w:t>los pueblos indígenas</w:t>
      </w:r>
    </w:p>
    <w:p w:rsidR="00E12E19" w:rsidRDefault="00001A96" w:rsidP="00001A96">
      <w:pPr>
        <w:pStyle w:val="SingleTxtG"/>
      </w:pPr>
      <w:r>
        <w:t>2</w:t>
      </w:r>
      <w:r w:rsidR="009C4459">
        <w:t>1</w:t>
      </w:r>
      <w:r>
        <w:t>.</w:t>
      </w:r>
      <w:r>
        <w:tab/>
      </w:r>
      <w:r w:rsidR="007A1242">
        <w:t xml:space="preserve">El Comité </w:t>
      </w:r>
      <w:r w:rsidR="00FE22CC">
        <w:t xml:space="preserve">observa con </w:t>
      </w:r>
      <w:r w:rsidR="007A1242">
        <w:t xml:space="preserve">satisfacción </w:t>
      </w:r>
      <w:r w:rsidR="00E12E19">
        <w:t xml:space="preserve">el </w:t>
      </w:r>
      <w:r w:rsidR="007A1242">
        <w:t>amplio desarrollo</w:t>
      </w:r>
      <w:r w:rsidR="00E12E19">
        <w:t xml:space="preserve"> </w:t>
      </w:r>
      <w:r w:rsidR="00FE22CC">
        <w:t>normativo</w:t>
      </w:r>
      <w:r w:rsidR="00E12E19">
        <w:t xml:space="preserve"> </w:t>
      </w:r>
      <w:r w:rsidR="007A1242">
        <w:t xml:space="preserve">en materia de derechos de los pueblos </w:t>
      </w:r>
      <w:r w:rsidR="007A1242" w:rsidRPr="007A1242">
        <w:t xml:space="preserve">indígenas </w:t>
      </w:r>
      <w:r w:rsidR="007A1242">
        <w:t>en el Estado parte</w:t>
      </w:r>
      <w:r w:rsidR="007741B7">
        <w:t>, incluyendo el reconocimiento del derecho a ser consultados</w:t>
      </w:r>
      <w:r w:rsidR="007A1242">
        <w:t>.</w:t>
      </w:r>
      <w:r w:rsidR="001343DE">
        <w:t xml:space="preserve"> </w:t>
      </w:r>
      <w:r w:rsidR="00C80492">
        <w:t xml:space="preserve">Sin embargo, el Comité </w:t>
      </w:r>
      <w:r w:rsidR="00110ACD" w:rsidRPr="00110ACD">
        <w:t xml:space="preserve">lamenta no haber recibido suficiente información acerca de la aplicación </w:t>
      </w:r>
      <w:r w:rsidR="00B555CA" w:rsidRPr="00110ACD">
        <w:t xml:space="preserve">en la práctica </w:t>
      </w:r>
      <w:r w:rsidR="00110ACD" w:rsidRPr="00110ACD">
        <w:t>del derecho a la consulta previa en relación con el otorgamiento de licencias de exploración o explotación en sus territorios</w:t>
      </w:r>
      <w:r w:rsidR="00C80492" w:rsidRPr="00110ACD">
        <w:t>.</w:t>
      </w:r>
      <w:r w:rsidR="001343DE">
        <w:t xml:space="preserve"> </w:t>
      </w:r>
      <w:r w:rsidR="002A3744">
        <w:t xml:space="preserve">Asimismo, </w:t>
      </w:r>
      <w:r w:rsidR="001343DE">
        <w:t>mientras</w:t>
      </w:r>
      <w:r w:rsidR="002A3744">
        <w:t xml:space="preserve"> toma nota </w:t>
      </w:r>
      <w:r w:rsidR="002A3744" w:rsidRPr="00EB4909">
        <w:t xml:space="preserve">de </w:t>
      </w:r>
      <w:r w:rsidR="005C4DC6" w:rsidRPr="00EB4909">
        <w:t xml:space="preserve">la información proporcionada por el Estado parte de </w:t>
      </w:r>
      <w:r w:rsidR="002A3744" w:rsidRPr="00EB4909">
        <w:t xml:space="preserve">que se han otorgado títulos de propiedad colectiva en relación con </w:t>
      </w:r>
      <w:r w:rsidR="00DD4024" w:rsidRPr="00EB4909">
        <w:t>un porcentaje significativo</w:t>
      </w:r>
      <w:r w:rsidR="00DD4024">
        <w:t xml:space="preserve"> </w:t>
      </w:r>
      <w:r w:rsidR="002A3744">
        <w:t>de</w:t>
      </w:r>
      <w:r w:rsidR="009D53FE">
        <w:t>l total de</w:t>
      </w:r>
      <w:r w:rsidR="002A3744">
        <w:t xml:space="preserve"> las </w:t>
      </w:r>
      <w:r w:rsidR="009D53FE">
        <w:t xml:space="preserve">solicitudes de </w:t>
      </w:r>
      <w:r w:rsidR="002A3744">
        <w:t>demarcaci</w:t>
      </w:r>
      <w:r w:rsidR="009D53FE">
        <w:t>ón</w:t>
      </w:r>
      <w:r w:rsidR="002A3744">
        <w:t xml:space="preserve">, </w:t>
      </w:r>
      <w:r w:rsidR="00A244F8">
        <w:t xml:space="preserve">el Comité </w:t>
      </w:r>
      <w:r w:rsidR="007741B7">
        <w:t>observa</w:t>
      </w:r>
      <w:r w:rsidR="002A3744">
        <w:t xml:space="preserve"> que </w:t>
      </w:r>
      <w:r w:rsidR="001343DE">
        <w:t>el</w:t>
      </w:r>
      <w:r w:rsidR="002A3744">
        <w:t xml:space="preserve"> proceso </w:t>
      </w:r>
      <w:r w:rsidR="001343DE">
        <w:t xml:space="preserve">de demarcación </w:t>
      </w:r>
      <w:r w:rsidR="002A3744">
        <w:t xml:space="preserve">avanza </w:t>
      </w:r>
      <w:r w:rsidR="00462F2A">
        <w:t xml:space="preserve">muy </w:t>
      </w:r>
      <w:r w:rsidR="001343DE">
        <w:t>l</w:t>
      </w:r>
      <w:r w:rsidR="002A3744">
        <w:t>entamente.</w:t>
      </w:r>
      <w:r w:rsidR="00B83E41">
        <w:t xml:space="preserve"> </w:t>
      </w:r>
      <w:r w:rsidR="00A244F8">
        <w:t>E</w:t>
      </w:r>
      <w:r w:rsidR="004855CA">
        <w:t>l</w:t>
      </w:r>
      <w:r w:rsidR="00B83E41">
        <w:t xml:space="preserve"> Comité </w:t>
      </w:r>
      <w:r w:rsidR="00A244F8">
        <w:t xml:space="preserve">además </w:t>
      </w:r>
      <w:r w:rsidR="004855CA">
        <w:t>expresa su</w:t>
      </w:r>
      <w:r w:rsidR="00406E5F">
        <w:t xml:space="preserve"> preocupa</w:t>
      </w:r>
      <w:r w:rsidR="004855CA">
        <w:t>ción por</w:t>
      </w:r>
      <w:r w:rsidR="00B83E41">
        <w:t xml:space="preserve"> </w:t>
      </w:r>
      <w:r w:rsidR="009C1E57">
        <w:t xml:space="preserve">la información según la cual </w:t>
      </w:r>
      <w:r w:rsidR="00A244F8">
        <w:t>algunos pueblos</w:t>
      </w:r>
      <w:r w:rsidR="009C1E57">
        <w:t xml:space="preserve"> indígenas</w:t>
      </w:r>
      <w:r w:rsidR="004574F4">
        <w:t xml:space="preserve"> </w:t>
      </w:r>
      <w:r w:rsidR="00CF1205">
        <w:t>habrían</w:t>
      </w:r>
      <w:r w:rsidR="001F0416">
        <w:t xml:space="preserve"> sido</w:t>
      </w:r>
      <w:r w:rsidR="009C1E57">
        <w:t xml:space="preserve"> víctimas de actos violencia</w:t>
      </w:r>
      <w:r w:rsidR="004574F4">
        <w:t xml:space="preserve"> </w:t>
      </w:r>
      <w:r w:rsidR="009C1E57">
        <w:t xml:space="preserve">por </w:t>
      </w:r>
      <w:r w:rsidR="001E3F5B">
        <w:t xml:space="preserve">parte de </w:t>
      </w:r>
      <w:r w:rsidR="009C1E57">
        <w:t xml:space="preserve">actores estatales </w:t>
      </w:r>
      <w:r w:rsidR="004574F4">
        <w:t>y</w:t>
      </w:r>
      <w:r w:rsidR="009C1E57">
        <w:t xml:space="preserve"> no estatales</w:t>
      </w:r>
      <w:r w:rsidR="00FE22CC">
        <w:t xml:space="preserve"> (arts. </w:t>
      </w:r>
      <w:r w:rsidR="004574F4" w:rsidRPr="00EB4909">
        <w:t xml:space="preserve">1, </w:t>
      </w:r>
      <w:r w:rsidR="00FE22CC" w:rsidRPr="00EB4909">
        <w:t>2, 6, 7</w:t>
      </w:r>
      <w:r w:rsidR="00FE22CC">
        <w:t xml:space="preserve"> y 27)</w:t>
      </w:r>
      <w:r w:rsidR="00E12E19">
        <w:t>.</w:t>
      </w:r>
    </w:p>
    <w:p w:rsidR="00B83E41" w:rsidRDefault="00B83E41" w:rsidP="00E12E19">
      <w:pPr>
        <w:pStyle w:val="SingleTxtG"/>
        <w:rPr>
          <w:b/>
        </w:rPr>
      </w:pPr>
      <w:r>
        <w:rPr>
          <w:b/>
        </w:rPr>
        <w:t>El</w:t>
      </w:r>
      <w:r w:rsidR="00E12E19" w:rsidRPr="00E12E19">
        <w:rPr>
          <w:b/>
        </w:rPr>
        <w:t xml:space="preserve"> Estado parte</w:t>
      </w:r>
      <w:r w:rsidR="00F964FA">
        <w:rPr>
          <w:b/>
        </w:rPr>
        <w:t xml:space="preserve"> debe</w:t>
      </w:r>
      <w:r w:rsidR="004563C7">
        <w:rPr>
          <w:b/>
        </w:rPr>
        <w:t xml:space="preserve"> adoptar las medidas necesarias a fin de</w:t>
      </w:r>
      <w:r>
        <w:rPr>
          <w:b/>
        </w:rPr>
        <w:t>:</w:t>
      </w:r>
    </w:p>
    <w:p w:rsidR="00B83E41" w:rsidRDefault="00001A96" w:rsidP="00001A96">
      <w:pPr>
        <w:pStyle w:val="SingleTxtG"/>
        <w:ind w:firstLine="567"/>
        <w:rPr>
          <w:b/>
        </w:rPr>
      </w:pPr>
      <w:r>
        <w:rPr>
          <w:b/>
        </w:rPr>
        <w:t>a)</w:t>
      </w:r>
      <w:r>
        <w:rPr>
          <w:b/>
        </w:rPr>
        <w:tab/>
      </w:r>
      <w:r w:rsidR="00F964FA">
        <w:rPr>
          <w:b/>
        </w:rPr>
        <w:t>Garantizar</w:t>
      </w:r>
      <w:r w:rsidR="000A450A" w:rsidRPr="000A450A">
        <w:rPr>
          <w:b/>
          <w:bCs/>
        </w:rPr>
        <w:t xml:space="preserve"> la celebración de </w:t>
      </w:r>
      <w:r w:rsidR="009E591D">
        <w:rPr>
          <w:b/>
          <w:bCs/>
        </w:rPr>
        <w:t xml:space="preserve">las </w:t>
      </w:r>
      <w:r w:rsidR="000A450A" w:rsidRPr="000A450A">
        <w:rPr>
          <w:b/>
          <w:bCs/>
        </w:rPr>
        <w:t xml:space="preserve">consultas </w:t>
      </w:r>
      <w:r w:rsidR="009E591D">
        <w:rPr>
          <w:b/>
          <w:bCs/>
        </w:rPr>
        <w:t>previas necesarias</w:t>
      </w:r>
      <w:r w:rsidR="00E117CF">
        <w:rPr>
          <w:b/>
          <w:bCs/>
        </w:rPr>
        <w:t xml:space="preserve"> </w:t>
      </w:r>
      <w:r w:rsidR="000A450A" w:rsidRPr="000A450A">
        <w:rPr>
          <w:b/>
          <w:bCs/>
        </w:rPr>
        <w:t xml:space="preserve">con </w:t>
      </w:r>
      <w:r w:rsidR="000A450A">
        <w:rPr>
          <w:b/>
          <w:bCs/>
        </w:rPr>
        <w:t>los pueblos</w:t>
      </w:r>
      <w:r w:rsidR="000A450A" w:rsidRPr="000A450A">
        <w:rPr>
          <w:b/>
          <w:bCs/>
        </w:rPr>
        <w:t xml:space="preserve"> ind</w:t>
      </w:r>
      <w:r w:rsidR="000A450A">
        <w:rPr>
          <w:b/>
          <w:bCs/>
        </w:rPr>
        <w:t xml:space="preserve">ígenas </w:t>
      </w:r>
      <w:r w:rsidR="009E591D">
        <w:rPr>
          <w:b/>
          <w:bCs/>
        </w:rPr>
        <w:t xml:space="preserve">a fin de </w:t>
      </w:r>
      <w:r w:rsidR="009E591D" w:rsidRPr="000A450A">
        <w:rPr>
          <w:b/>
          <w:bCs/>
        </w:rPr>
        <w:t>obtener su consentimiento libre, previo e informado</w:t>
      </w:r>
      <w:r w:rsidR="009E591D" w:rsidRPr="00B71644">
        <w:rPr>
          <w:b/>
          <w:bCs/>
        </w:rPr>
        <w:t xml:space="preserve"> </w:t>
      </w:r>
      <w:r w:rsidR="00B71644" w:rsidRPr="00B71644">
        <w:rPr>
          <w:b/>
          <w:bCs/>
        </w:rPr>
        <w:t>antes de adopt</w:t>
      </w:r>
      <w:r w:rsidR="00224CC1">
        <w:rPr>
          <w:b/>
          <w:bCs/>
        </w:rPr>
        <w:t>ar</w:t>
      </w:r>
      <w:r w:rsidR="00B71644">
        <w:rPr>
          <w:b/>
          <w:bCs/>
        </w:rPr>
        <w:t xml:space="preserve"> y apli</w:t>
      </w:r>
      <w:r w:rsidR="00224CC1">
        <w:rPr>
          <w:b/>
          <w:bCs/>
        </w:rPr>
        <w:t>car</w:t>
      </w:r>
      <w:r w:rsidR="00B71644" w:rsidRPr="00B71644">
        <w:rPr>
          <w:b/>
          <w:bCs/>
        </w:rPr>
        <w:t xml:space="preserve"> </w:t>
      </w:r>
      <w:r w:rsidR="00B71644">
        <w:rPr>
          <w:b/>
          <w:bCs/>
        </w:rPr>
        <w:t xml:space="preserve">cualquier </w:t>
      </w:r>
      <w:r w:rsidR="00B71644" w:rsidRPr="00B71644">
        <w:rPr>
          <w:b/>
          <w:bCs/>
        </w:rPr>
        <w:t xml:space="preserve">medida </w:t>
      </w:r>
      <w:r w:rsidR="00EF5167">
        <w:rPr>
          <w:b/>
          <w:bCs/>
        </w:rPr>
        <w:t xml:space="preserve">que pueda </w:t>
      </w:r>
      <w:r w:rsidR="00D4670D">
        <w:rPr>
          <w:b/>
          <w:bCs/>
        </w:rPr>
        <w:t xml:space="preserve">incidir </w:t>
      </w:r>
      <w:r w:rsidR="00C20580">
        <w:rPr>
          <w:b/>
          <w:bCs/>
        </w:rPr>
        <w:t>sustancialmente</w:t>
      </w:r>
      <w:r w:rsidR="00D4670D">
        <w:rPr>
          <w:b/>
          <w:bCs/>
        </w:rPr>
        <w:t xml:space="preserve"> en</w:t>
      </w:r>
      <w:r w:rsidR="001846F2">
        <w:rPr>
          <w:b/>
          <w:bCs/>
        </w:rPr>
        <w:t xml:space="preserve"> su modo de vida y su cultura</w:t>
      </w:r>
      <w:r w:rsidR="0010150E">
        <w:rPr>
          <w:b/>
          <w:bCs/>
        </w:rPr>
        <w:t xml:space="preserve">, </w:t>
      </w:r>
      <w:r w:rsidR="0010150E" w:rsidRPr="001846F2">
        <w:rPr>
          <w:b/>
          <w:bCs/>
        </w:rPr>
        <w:t xml:space="preserve">en particular </w:t>
      </w:r>
      <w:r w:rsidR="001C5FCB" w:rsidRPr="001846F2">
        <w:rPr>
          <w:b/>
          <w:bCs/>
        </w:rPr>
        <w:t>en relación con proyectos que puedan tener un impacto sobre sus tierras o territorios y otros recursos</w:t>
      </w:r>
      <w:r w:rsidR="00A066B6">
        <w:rPr>
          <w:b/>
          <w:bCs/>
        </w:rPr>
        <w:t>,</w:t>
      </w:r>
      <w:r w:rsidR="001C5FCB" w:rsidRPr="001846F2">
        <w:rPr>
          <w:b/>
          <w:bCs/>
        </w:rPr>
        <w:t xml:space="preserve"> tales como </w:t>
      </w:r>
      <w:r w:rsidR="000A450A" w:rsidRPr="001846F2">
        <w:rPr>
          <w:b/>
          <w:bCs/>
        </w:rPr>
        <w:t xml:space="preserve">proyectos de </w:t>
      </w:r>
      <w:r w:rsidR="00FA2D43" w:rsidRPr="001846F2">
        <w:rPr>
          <w:b/>
          <w:bCs/>
        </w:rPr>
        <w:t xml:space="preserve">explotación </w:t>
      </w:r>
      <w:r w:rsidR="0010150E" w:rsidRPr="001846F2">
        <w:rPr>
          <w:b/>
          <w:bCs/>
        </w:rPr>
        <w:t>y</w:t>
      </w:r>
      <w:r w:rsidR="00B71644" w:rsidRPr="001846F2">
        <w:rPr>
          <w:b/>
          <w:bCs/>
        </w:rPr>
        <w:t>/o</w:t>
      </w:r>
      <w:r w:rsidR="0010150E" w:rsidRPr="001846F2">
        <w:rPr>
          <w:b/>
          <w:bCs/>
        </w:rPr>
        <w:t xml:space="preserve"> </w:t>
      </w:r>
      <w:r w:rsidR="00FA2D43" w:rsidRPr="001846F2">
        <w:rPr>
          <w:b/>
          <w:bCs/>
        </w:rPr>
        <w:t xml:space="preserve">exploración </w:t>
      </w:r>
      <w:r w:rsidR="000A450A" w:rsidRPr="001846F2">
        <w:rPr>
          <w:b/>
          <w:bCs/>
        </w:rPr>
        <w:t>de recursos naturales</w:t>
      </w:r>
      <w:r w:rsidR="001846F2">
        <w:rPr>
          <w:b/>
          <w:bCs/>
        </w:rPr>
        <w:t>.</w:t>
      </w:r>
      <w:r w:rsidR="00224CC1">
        <w:rPr>
          <w:b/>
          <w:bCs/>
        </w:rPr>
        <w:t xml:space="preserve"> </w:t>
      </w:r>
      <w:r w:rsidR="00A244F8">
        <w:rPr>
          <w:b/>
          <w:bCs/>
        </w:rPr>
        <w:t>E</w:t>
      </w:r>
      <w:r w:rsidR="001846F2">
        <w:rPr>
          <w:b/>
          <w:bCs/>
        </w:rPr>
        <w:t>l Estado parte debe agilizar la aprobación del Proyecto de Reglamento de Consulta previa e informada y asegurar la participación activa de los pueblos indígenas en su elaboración;</w:t>
      </w:r>
    </w:p>
    <w:p w:rsidR="00E11E2F" w:rsidRDefault="00001A96" w:rsidP="00001A96">
      <w:pPr>
        <w:pStyle w:val="SingleTxtG"/>
        <w:ind w:firstLine="567"/>
        <w:rPr>
          <w:b/>
        </w:rPr>
      </w:pPr>
      <w:r>
        <w:rPr>
          <w:b/>
        </w:rPr>
        <w:lastRenderedPageBreak/>
        <w:t>b)</w:t>
      </w:r>
      <w:r>
        <w:rPr>
          <w:b/>
        </w:rPr>
        <w:tab/>
      </w:r>
      <w:r w:rsidR="00E11E2F">
        <w:rPr>
          <w:b/>
        </w:rPr>
        <w:t xml:space="preserve">Acelerar </w:t>
      </w:r>
      <w:r w:rsidR="00CF1205">
        <w:rPr>
          <w:b/>
        </w:rPr>
        <w:t xml:space="preserve">y completar a la mayor brevedad posible </w:t>
      </w:r>
      <w:r w:rsidR="00593458">
        <w:rPr>
          <w:b/>
        </w:rPr>
        <w:t>el proceso de</w:t>
      </w:r>
      <w:r w:rsidR="00E11E2F">
        <w:rPr>
          <w:b/>
        </w:rPr>
        <w:t xml:space="preserve"> demarcación de las tierras indígenas;</w:t>
      </w:r>
    </w:p>
    <w:p w:rsidR="00E12E19" w:rsidRPr="00E12E19" w:rsidRDefault="00001A96" w:rsidP="00001A96">
      <w:pPr>
        <w:pStyle w:val="SingleTxtG"/>
        <w:ind w:firstLine="567"/>
        <w:rPr>
          <w:b/>
        </w:rPr>
      </w:pPr>
      <w:r w:rsidRPr="00E12E19">
        <w:rPr>
          <w:b/>
        </w:rPr>
        <w:t>c)</w:t>
      </w:r>
      <w:r w:rsidRPr="00E12E19">
        <w:rPr>
          <w:b/>
        </w:rPr>
        <w:tab/>
      </w:r>
      <w:r w:rsidR="004563C7">
        <w:rPr>
          <w:b/>
        </w:rPr>
        <w:t>P</w:t>
      </w:r>
      <w:r w:rsidR="000A450A">
        <w:rPr>
          <w:b/>
        </w:rPr>
        <w:t xml:space="preserve">roteger </w:t>
      </w:r>
      <w:r w:rsidR="00403CB0">
        <w:rPr>
          <w:b/>
        </w:rPr>
        <w:t xml:space="preserve">de manera efectiva </w:t>
      </w:r>
      <w:r w:rsidR="000A450A">
        <w:rPr>
          <w:b/>
        </w:rPr>
        <w:t xml:space="preserve">a los pueblos indígenas contra todo </w:t>
      </w:r>
      <w:r w:rsidR="00403CB0">
        <w:rPr>
          <w:b/>
        </w:rPr>
        <w:t>acto de violencia</w:t>
      </w:r>
      <w:r w:rsidR="0096199E">
        <w:rPr>
          <w:b/>
        </w:rPr>
        <w:t>,</w:t>
      </w:r>
      <w:r w:rsidR="004855CA">
        <w:rPr>
          <w:b/>
        </w:rPr>
        <w:t xml:space="preserve"> y</w:t>
      </w:r>
      <w:r w:rsidR="00403CB0">
        <w:rPr>
          <w:b/>
        </w:rPr>
        <w:t xml:space="preserve"> </w:t>
      </w:r>
      <w:r w:rsidR="004855CA" w:rsidRPr="004855CA">
        <w:rPr>
          <w:b/>
          <w:bCs/>
        </w:rPr>
        <w:t xml:space="preserve">velar por que los autores </w:t>
      </w:r>
      <w:r w:rsidR="0096199E">
        <w:rPr>
          <w:b/>
          <w:bCs/>
        </w:rPr>
        <w:t xml:space="preserve">de </w:t>
      </w:r>
      <w:r w:rsidR="00EB4909">
        <w:rPr>
          <w:b/>
          <w:bCs/>
        </w:rPr>
        <w:t xml:space="preserve">tales </w:t>
      </w:r>
      <w:r w:rsidR="0096199E">
        <w:rPr>
          <w:b/>
          <w:bCs/>
        </w:rPr>
        <w:t>actos</w:t>
      </w:r>
      <w:r w:rsidR="002E0E1F">
        <w:rPr>
          <w:b/>
          <w:bCs/>
        </w:rPr>
        <w:t xml:space="preserve"> </w:t>
      </w:r>
      <w:r w:rsidR="004855CA" w:rsidRPr="004855CA">
        <w:rPr>
          <w:b/>
          <w:bCs/>
        </w:rPr>
        <w:t xml:space="preserve">sean llevados ante la justicia </w:t>
      </w:r>
      <w:r w:rsidR="004855CA">
        <w:rPr>
          <w:b/>
        </w:rPr>
        <w:t>y</w:t>
      </w:r>
      <w:r w:rsidR="00FD26B3">
        <w:rPr>
          <w:b/>
        </w:rPr>
        <w:t xml:space="preserve"> debidamente </w:t>
      </w:r>
      <w:r w:rsidR="004855CA">
        <w:rPr>
          <w:b/>
        </w:rPr>
        <w:t xml:space="preserve">sancionados, </w:t>
      </w:r>
      <w:r w:rsidR="004855CA" w:rsidRPr="004855CA">
        <w:rPr>
          <w:b/>
          <w:bCs/>
        </w:rPr>
        <w:t xml:space="preserve">y </w:t>
      </w:r>
      <w:proofErr w:type="spellStart"/>
      <w:r w:rsidR="0096199E">
        <w:rPr>
          <w:b/>
          <w:bCs/>
        </w:rPr>
        <w:t xml:space="preserve">por </w:t>
      </w:r>
      <w:r w:rsidR="004855CA" w:rsidRPr="004855CA">
        <w:rPr>
          <w:b/>
          <w:bCs/>
        </w:rPr>
        <w:t>que</w:t>
      </w:r>
      <w:proofErr w:type="spellEnd"/>
      <w:r w:rsidR="004855CA" w:rsidRPr="004855CA">
        <w:rPr>
          <w:b/>
          <w:bCs/>
        </w:rPr>
        <w:t xml:space="preserve"> las víctimas obtengan una reparación </w:t>
      </w:r>
      <w:r w:rsidR="000A450A">
        <w:rPr>
          <w:b/>
        </w:rPr>
        <w:t>adecuada.</w:t>
      </w:r>
    </w:p>
    <w:p w:rsidR="00087F9B" w:rsidRPr="00D71663" w:rsidRDefault="00AC5CE7" w:rsidP="00087F9B">
      <w:pPr>
        <w:pStyle w:val="H23G"/>
        <w:rPr>
          <w:b w:val="0"/>
        </w:rPr>
      </w:pPr>
      <w:r>
        <w:tab/>
      </w:r>
      <w:r>
        <w:tab/>
      </w:r>
      <w:r w:rsidR="00087F9B" w:rsidRPr="00087F9B">
        <w:t>Denuncia</w:t>
      </w:r>
      <w:r w:rsidR="00087F9B" w:rsidRPr="00D71663">
        <w:rPr>
          <w:b w:val="0"/>
        </w:rPr>
        <w:t xml:space="preserve"> </w:t>
      </w:r>
      <w:r w:rsidR="00087F9B" w:rsidRPr="00087F9B">
        <w:t>a la Convención Americana sobre Derechos Humanos</w:t>
      </w:r>
    </w:p>
    <w:p w:rsidR="00087F9B" w:rsidRDefault="00087F9B" w:rsidP="00087F9B">
      <w:pPr>
        <w:pStyle w:val="SingleTxtG"/>
      </w:pPr>
      <w:r>
        <w:t>22.</w:t>
      </w:r>
      <w:r>
        <w:tab/>
        <w:t>El Comité nota con preocupación la denuncia del Estado parte a la Convención Americana sobre Derechos Humanos.</w:t>
      </w:r>
    </w:p>
    <w:p w:rsidR="00087F9B" w:rsidRPr="00D71663" w:rsidRDefault="00087F9B" w:rsidP="00087F9B">
      <w:pPr>
        <w:pStyle w:val="SingleTxtG"/>
        <w:rPr>
          <w:b/>
        </w:rPr>
      </w:pPr>
      <w:r w:rsidRPr="00D71663">
        <w:rPr>
          <w:b/>
        </w:rPr>
        <w:t xml:space="preserve">El Comité </w:t>
      </w:r>
      <w:r>
        <w:rPr>
          <w:b/>
        </w:rPr>
        <w:t xml:space="preserve">invita al Estado parte a </w:t>
      </w:r>
      <w:r w:rsidRPr="00D71663">
        <w:rPr>
          <w:b/>
        </w:rPr>
        <w:t>consider</w:t>
      </w:r>
      <w:r>
        <w:rPr>
          <w:b/>
        </w:rPr>
        <w:t>ar</w:t>
      </w:r>
      <w:r w:rsidRPr="00D71663">
        <w:rPr>
          <w:b/>
        </w:rPr>
        <w:t xml:space="preserve"> volver a ser parte </w:t>
      </w:r>
      <w:r>
        <w:rPr>
          <w:b/>
        </w:rPr>
        <w:t>en</w:t>
      </w:r>
      <w:r w:rsidRPr="00D71663">
        <w:rPr>
          <w:b/>
        </w:rPr>
        <w:t xml:space="preserve"> la Convención Americana </w:t>
      </w:r>
      <w:r>
        <w:rPr>
          <w:b/>
        </w:rPr>
        <w:t xml:space="preserve">sobre Derechos Humanos </w:t>
      </w:r>
      <w:r w:rsidRPr="00D71663">
        <w:rPr>
          <w:b/>
        </w:rPr>
        <w:t>con miras a ofrecer una protección complementaria a los derechos contenidos en el Pacto</w:t>
      </w:r>
      <w:r w:rsidRPr="00987412">
        <w:rPr>
          <w:b/>
        </w:rPr>
        <w:t xml:space="preserve"> </w:t>
      </w:r>
      <w:r>
        <w:rPr>
          <w:b/>
        </w:rPr>
        <w:t>a nivel regional</w:t>
      </w:r>
      <w:r w:rsidRPr="00D71663">
        <w:rPr>
          <w:b/>
        </w:rPr>
        <w:t>.</w:t>
      </w:r>
    </w:p>
    <w:p w:rsidR="00E12E19" w:rsidRDefault="00087F9B" w:rsidP="00E12E19">
      <w:pPr>
        <w:pStyle w:val="H23G"/>
      </w:pPr>
      <w:r>
        <w:tab/>
      </w:r>
      <w:r>
        <w:tab/>
      </w:r>
      <w:r w:rsidR="00E12E19">
        <w:t>Difusión de información relativa al Pacto</w:t>
      </w:r>
    </w:p>
    <w:p w:rsidR="00E12E19" w:rsidRDefault="00001A96" w:rsidP="00001A96">
      <w:pPr>
        <w:pStyle w:val="SingleTxtG"/>
      </w:pPr>
      <w:r>
        <w:t>23.</w:t>
      </w:r>
      <w:r>
        <w:tab/>
      </w:r>
      <w:r w:rsidR="00E12E19">
        <w:t>El Estado parte debe difundir ampliamente el Pacto</w:t>
      </w:r>
      <w:r w:rsidR="00053825">
        <w:t>,</w:t>
      </w:r>
      <w:r w:rsidR="00694985">
        <w:t xml:space="preserve"> sus dos Protocolos Facultativos</w:t>
      </w:r>
      <w:r w:rsidR="00E12E19">
        <w:t xml:space="preserve">, el texto de su </w:t>
      </w:r>
      <w:r w:rsidR="00694985">
        <w:t>cuarto</w:t>
      </w:r>
      <w:r w:rsidR="00E12E19">
        <w:t xml:space="preserve"> informe periódico, las respuestas escritas a la lista de cuestiones preparada por el Comité y las presentes observaciones finales entre las autoridades judiciales, legislativas y administrativas, la sociedad civil y las </w:t>
      </w:r>
      <w:r w:rsidR="00857A0C">
        <w:t>ONG</w:t>
      </w:r>
      <w:r w:rsidR="00E12E19">
        <w:t xml:space="preserve"> que actúan en el país, así como entre la población en general.</w:t>
      </w:r>
    </w:p>
    <w:p w:rsidR="00E12E19" w:rsidRPr="00FE68B8" w:rsidRDefault="00001A96" w:rsidP="00001A96">
      <w:pPr>
        <w:pStyle w:val="SingleTxtG"/>
      </w:pPr>
      <w:r w:rsidRPr="00FE68B8">
        <w:t>24.</w:t>
      </w:r>
      <w:r w:rsidRPr="00FE68B8">
        <w:tab/>
      </w:r>
      <w:r w:rsidR="00E12E19">
        <w:t xml:space="preserve">De conformidad con el artículo 71, párrafo 5, del reglamento del Comité, el Estado parte debe facilitar, dentro del plazo de un año, </w:t>
      </w:r>
      <w:r w:rsidR="00E12E19" w:rsidRPr="00FE68B8">
        <w:t xml:space="preserve">información pertinente sobre </w:t>
      </w:r>
      <w:r w:rsidR="00694985" w:rsidRPr="00FE68B8">
        <w:t>la</w:t>
      </w:r>
      <w:r w:rsidR="00E12E19" w:rsidRPr="00FE68B8">
        <w:t xml:space="preserve"> aplicación de las recomendaciones del Comité que figuran en los párrafos </w:t>
      </w:r>
      <w:r w:rsidR="00357584">
        <w:t>14</w:t>
      </w:r>
      <w:r w:rsidR="007B5670">
        <w:t xml:space="preserve"> (</w:t>
      </w:r>
      <w:r w:rsidR="007B5670" w:rsidRPr="007B5670">
        <w:t>Observancia de los derechos humanos en el contexto de manifestaciones</w:t>
      </w:r>
      <w:r w:rsidR="007B5670">
        <w:t>)</w:t>
      </w:r>
      <w:r w:rsidR="00357584">
        <w:t>, 15</w:t>
      </w:r>
      <w:r w:rsidR="007B5670">
        <w:t xml:space="preserve"> (Independencia del Poder Judicial)</w:t>
      </w:r>
      <w:r w:rsidR="00357584">
        <w:t>, 17</w:t>
      </w:r>
      <w:r w:rsidR="00357584" w:rsidRPr="00FE68B8">
        <w:t xml:space="preserve"> </w:t>
      </w:r>
      <w:r w:rsidR="007B5670">
        <w:t>(</w:t>
      </w:r>
      <w:r w:rsidR="007B5670" w:rsidRPr="007B5670">
        <w:t>Presuntos actos de intimidación, descalificación, amenazas y/o ataques contra periodistas, defensores de los derechos humanos y abogados y presuntas detenciones arbitrarias de algunos miembros de la oposición política</w:t>
      </w:r>
      <w:r w:rsidR="007B5670">
        <w:t xml:space="preserve">) </w:t>
      </w:r>
      <w:r w:rsidR="00E12E19" w:rsidRPr="00FE68B8">
        <w:t xml:space="preserve">y </w:t>
      </w:r>
      <w:r w:rsidR="00357584">
        <w:t>18</w:t>
      </w:r>
      <w:r w:rsidR="007B5670">
        <w:t xml:space="preserve"> (</w:t>
      </w:r>
      <w:r w:rsidR="007B5670" w:rsidRPr="007B5670">
        <w:t>Declaraciones descalificatorias contra miembros de organizaciones de la sociedad civil que contribuyeron a labor del Comité</w:t>
      </w:r>
      <w:r w:rsidR="007B5670">
        <w:t>)</w:t>
      </w:r>
      <w:r w:rsidR="00E12E19" w:rsidRPr="00FE68B8">
        <w:t>.</w:t>
      </w:r>
    </w:p>
    <w:p w:rsidR="00E12E19" w:rsidRDefault="00001A96" w:rsidP="00001A96">
      <w:pPr>
        <w:pStyle w:val="SingleTxtG"/>
        <w:keepNext/>
        <w:keepLines/>
      </w:pPr>
      <w:r>
        <w:t>25.</w:t>
      </w:r>
      <w:r>
        <w:tab/>
      </w:r>
      <w:r w:rsidR="00E12E19" w:rsidRPr="00FE68B8">
        <w:t>El Comité pide al Estado parte que, en su próximo informe periódico, que habrá de presentarse a más tardar el 2</w:t>
      </w:r>
      <w:r w:rsidR="00694985" w:rsidRPr="00FE68B8">
        <w:t>4</w:t>
      </w:r>
      <w:r w:rsidR="00E12E19" w:rsidRPr="00FE68B8">
        <w:t xml:space="preserve"> de </w:t>
      </w:r>
      <w:r w:rsidR="00694985" w:rsidRPr="00FE68B8">
        <w:t>ju</w:t>
      </w:r>
      <w:r w:rsidR="00E12E19" w:rsidRPr="00FE68B8">
        <w:t>l</w:t>
      </w:r>
      <w:r w:rsidR="00694985" w:rsidRPr="00FE68B8">
        <w:t>io</w:t>
      </w:r>
      <w:r w:rsidR="00E12E19" w:rsidRPr="00FE68B8">
        <w:t xml:space="preserve"> de 20</w:t>
      </w:r>
      <w:r w:rsidR="00357584">
        <w:t>18</w:t>
      </w:r>
      <w:r w:rsidR="00E12E19" w:rsidRPr="00FE68B8">
        <w:t>, facilite información concreta y actualizada sobre la aplicación de todas sus recomendaciones y del Pacto en su</w:t>
      </w:r>
      <w:r w:rsidR="00E12E19">
        <w:t xml:space="preserve"> conjunto. Pide también al Estado parte que, al preparar su próximo informe periódico, celebre amplias consultas con la sociedad civil y las </w:t>
      </w:r>
      <w:r w:rsidR="00053825">
        <w:t>organizaciones no gubernamentales</w:t>
      </w:r>
      <w:r w:rsidR="00E12E19">
        <w:t xml:space="preserve"> que actúan en el país. Con arreglo a lo dispuesto en la resolución 68/268 de la Asamblea General, el informe no debe exceder de 21.200 palabras.</w:t>
      </w:r>
    </w:p>
    <w:p w:rsidR="00E12E19" w:rsidRPr="00E12E19" w:rsidRDefault="00E12E19" w:rsidP="00001A96">
      <w:pPr>
        <w:pStyle w:val="SingleTxtG"/>
        <w:keepNext/>
        <w:keepLines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E19" w:rsidRPr="00E12E19" w:rsidSect="00DE4E2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701" w:right="1134" w:bottom="141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70" w:rsidRDefault="00A07570"/>
  </w:endnote>
  <w:endnote w:type="continuationSeparator" w:id="0">
    <w:p w:rsidR="00A07570" w:rsidRDefault="00A07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70" w:rsidRPr="00E12E19" w:rsidRDefault="00A07570" w:rsidP="00E12E19">
    <w:pPr>
      <w:pStyle w:val="Footer"/>
      <w:tabs>
        <w:tab w:val="right" w:pos="9638"/>
      </w:tabs>
    </w:pPr>
    <w:r w:rsidRPr="00E12E19">
      <w:rPr>
        <w:b/>
        <w:sz w:val="18"/>
      </w:rPr>
      <w:fldChar w:fldCharType="begin"/>
    </w:r>
    <w:r w:rsidRPr="00E12E19">
      <w:rPr>
        <w:b/>
        <w:sz w:val="18"/>
      </w:rPr>
      <w:instrText xml:space="preserve"> PAGE  \* MERGEFORMAT </w:instrText>
    </w:r>
    <w:r w:rsidRPr="00E12E19">
      <w:rPr>
        <w:b/>
        <w:sz w:val="18"/>
      </w:rPr>
      <w:fldChar w:fldCharType="separate"/>
    </w:r>
    <w:r w:rsidR="00FC2D2F">
      <w:rPr>
        <w:b/>
        <w:noProof/>
        <w:sz w:val="18"/>
      </w:rPr>
      <w:t>8</w:t>
    </w:r>
    <w:r w:rsidRPr="00E12E19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70" w:rsidRPr="00E12E19" w:rsidRDefault="00A07570" w:rsidP="00E12E19">
    <w:pPr>
      <w:pStyle w:val="Footer"/>
      <w:tabs>
        <w:tab w:val="right" w:pos="9638"/>
      </w:tabs>
      <w:rPr>
        <w:b/>
        <w:sz w:val="18"/>
      </w:rPr>
    </w:pPr>
    <w:r>
      <w:tab/>
    </w:r>
    <w:r w:rsidRPr="00E12E19">
      <w:rPr>
        <w:b/>
        <w:sz w:val="18"/>
      </w:rPr>
      <w:fldChar w:fldCharType="begin"/>
    </w:r>
    <w:r w:rsidRPr="00E12E19">
      <w:rPr>
        <w:b/>
        <w:sz w:val="18"/>
      </w:rPr>
      <w:instrText xml:space="preserve"> PAGE  \* MERGEFORMAT </w:instrText>
    </w:r>
    <w:r w:rsidRPr="00E12E19">
      <w:rPr>
        <w:b/>
        <w:sz w:val="18"/>
      </w:rPr>
      <w:fldChar w:fldCharType="separate"/>
    </w:r>
    <w:r w:rsidR="00FC2D2F">
      <w:rPr>
        <w:b/>
        <w:noProof/>
        <w:sz w:val="18"/>
      </w:rPr>
      <w:t>7</w:t>
    </w:r>
    <w:r w:rsidRPr="00E12E1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752"/>
    </w:tblGrid>
    <w:tr w:rsidR="005044BC" w:rsidTr="005044BC">
      <w:tc>
        <w:tcPr>
          <w:tcW w:w="3672" w:type="dxa"/>
          <w:shd w:val="clear" w:color="auto" w:fill="auto"/>
        </w:tcPr>
        <w:p w:rsidR="005044BC" w:rsidRDefault="005044BC" w:rsidP="005044BC">
          <w:pPr>
            <w:pStyle w:val="Footer"/>
            <w:rPr>
              <w:sz w:val="20"/>
            </w:rPr>
          </w:pPr>
          <w:r>
            <w:rPr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2" name="Picture 2" descr="http://undocs.org/m2/QRCode2.ashx?DS=CCPR/C/VEN/CO/R.4&amp;Size =1&amp;Lang = 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CCPR/C/VEN/CO/R.4&amp;Size =1&amp;Lang = 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</w:rPr>
            <w:t>GE.15-11450 (S)</w:t>
          </w:r>
        </w:p>
        <w:p w:rsidR="005044BC" w:rsidRPr="005044BC" w:rsidRDefault="005044BC" w:rsidP="005044BC">
          <w:pPr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*1511450*</w:t>
          </w:r>
        </w:p>
      </w:tc>
      <w:tc>
        <w:tcPr>
          <w:tcW w:w="4752" w:type="dxa"/>
          <w:shd w:val="clear" w:color="auto" w:fill="auto"/>
        </w:tcPr>
        <w:p w:rsidR="005044BC" w:rsidRDefault="005044BC" w:rsidP="005044BC">
          <w:pPr>
            <w:pStyle w:val="Footer"/>
            <w:jc w:val="right"/>
            <w:rPr>
              <w:sz w:val="20"/>
            </w:rPr>
          </w:pPr>
          <w:r>
            <w:rPr>
              <w:noProof/>
              <w:sz w:val="20"/>
              <w:lang w:val="en-GB" w:eastAsia="en-GB"/>
            </w:rPr>
            <w:drawing>
              <wp:inline distT="0" distB="0" distL="0" distR="0">
                <wp:extent cx="10820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44BC" w:rsidRPr="005044BC" w:rsidRDefault="005044BC" w:rsidP="005044B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70" w:rsidRPr="001075E9" w:rsidRDefault="00A0757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07570" w:rsidRDefault="00A07570" w:rsidP="00AE0E02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C44174" w:rsidRPr="00C44174" w:rsidRDefault="00C44174" w:rsidP="00C44174">
      <w:pPr>
        <w:pStyle w:val="FootnoteText"/>
      </w:pPr>
      <w:r>
        <w:tab/>
      </w:r>
      <w:r>
        <w:rPr>
          <w:rStyle w:val="FootnoteReference"/>
        </w:rPr>
        <w:t>*</w:t>
      </w:r>
      <w:r>
        <w:t xml:space="preserve"> </w:t>
      </w:r>
      <w:r>
        <w:tab/>
      </w:r>
      <w:r w:rsidR="007B08A3" w:rsidRPr="00753655">
        <w:rPr>
          <w:rFonts w:ascii="TimesNewRoman" w:hAnsi="TimesNewRoman" w:cs="TimesNewRoman"/>
          <w:szCs w:val="18"/>
          <w:lang w:val="es-MX" w:eastAsia="zh-CN"/>
        </w:rPr>
        <w:t xml:space="preserve"> Aprobadas por el Comité en su 114 período de sesiones (</w:t>
      </w:r>
      <w:r w:rsidR="007B08A3" w:rsidRPr="007B08A3">
        <w:rPr>
          <w:rFonts w:ascii="TimesNewRoman" w:hAnsi="TimesNewRoman" w:cs="TimesNewRoman"/>
          <w:szCs w:val="18"/>
          <w:lang w:val="es-ES_tradnl" w:eastAsia="zh-CN"/>
        </w:rPr>
        <w:t>29 junio a 24 de julio de 2015</w:t>
      </w:r>
      <w:r w:rsidR="007B08A3" w:rsidRPr="00753655">
        <w:rPr>
          <w:rFonts w:ascii="TimesNewRoman" w:hAnsi="TimesNewRoman" w:cs="TimesNewRoman"/>
          <w:szCs w:val="18"/>
          <w:lang w:val="es-MX" w:eastAsia="zh-C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70" w:rsidRPr="001E59E8" w:rsidRDefault="00A07570">
    <w:pPr>
      <w:pStyle w:val="Header"/>
      <w:rPr>
        <w:lang w:val="en-GB"/>
      </w:rPr>
    </w:pPr>
    <w:r w:rsidRPr="001E59E8">
      <w:rPr>
        <w:lang w:val="en-GB"/>
      </w:rPr>
      <w:t>CCPR/C/VEN/CO/4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70" w:rsidRPr="001E59E8" w:rsidRDefault="00A07570" w:rsidP="00E12E19">
    <w:pPr>
      <w:pStyle w:val="Header"/>
      <w:jc w:val="right"/>
      <w:rPr>
        <w:lang w:val="en-GB"/>
      </w:rPr>
    </w:pPr>
    <w:r w:rsidRPr="001E59E8">
      <w:rPr>
        <w:lang w:val="en-GB"/>
      </w:rPr>
      <w:t>CCPR/C/VEN/CO/4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3526C"/>
    <w:multiLevelType w:val="hybridMultilevel"/>
    <w:tmpl w:val="72802228"/>
    <w:lvl w:ilvl="0" w:tplc="7AB03B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430DAE"/>
    <w:multiLevelType w:val="hybridMultilevel"/>
    <w:tmpl w:val="9244E59E"/>
    <w:lvl w:ilvl="0" w:tplc="65C808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13D04"/>
    <w:multiLevelType w:val="hybridMultilevel"/>
    <w:tmpl w:val="6B10B408"/>
    <w:lvl w:ilvl="0" w:tplc="0F5CA17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77C351B"/>
    <w:multiLevelType w:val="hybridMultilevel"/>
    <w:tmpl w:val="5AF6EF28"/>
    <w:lvl w:ilvl="0" w:tplc="685026FA">
      <w:start w:val="1"/>
      <w:numFmt w:val="decimal"/>
      <w:lvlText w:val="%1."/>
      <w:lvlJc w:val="left"/>
      <w:pPr>
        <w:ind w:left="1854" w:hanging="360"/>
      </w:pPr>
      <w:rPr>
        <w:b w:val="0"/>
        <w:lang w:val="es-ES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8BD4AF1"/>
    <w:multiLevelType w:val="hybridMultilevel"/>
    <w:tmpl w:val="4C4A1C70"/>
    <w:lvl w:ilvl="0" w:tplc="27CE62E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1973797B"/>
    <w:multiLevelType w:val="hybridMultilevel"/>
    <w:tmpl w:val="1E18D8C0"/>
    <w:lvl w:ilvl="0" w:tplc="7908C7A2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1F220B9D"/>
    <w:multiLevelType w:val="hybridMultilevel"/>
    <w:tmpl w:val="D762752E"/>
    <w:lvl w:ilvl="0" w:tplc="1E52B61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>
    <w:nsid w:val="20FB69EE"/>
    <w:multiLevelType w:val="hybridMultilevel"/>
    <w:tmpl w:val="C2A23AD6"/>
    <w:lvl w:ilvl="0" w:tplc="1974F71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220855B2"/>
    <w:multiLevelType w:val="hybridMultilevel"/>
    <w:tmpl w:val="5CA2347A"/>
    <w:lvl w:ilvl="0" w:tplc="7B2A7BE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50D1EFD"/>
    <w:multiLevelType w:val="hybridMultilevel"/>
    <w:tmpl w:val="BA6897E4"/>
    <w:lvl w:ilvl="0" w:tplc="873EF120">
      <w:start w:val="1"/>
      <w:numFmt w:val="lowerLetter"/>
      <w:lvlText w:val="%1)"/>
      <w:lvlJc w:val="left"/>
      <w:pPr>
        <w:ind w:left="2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32C30E8D"/>
    <w:multiLevelType w:val="hybridMultilevel"/>
    <w:tmpl w:val="DDAEDB48"/>
    <w:lvl w:ilvl="0" w:tplc="E6F4BA84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36A7743B"/>
    <w:multiLevelType w:val="hybridMultilevel"/>
    <w:tmpl w:val="165289D8"/>
    <w:lvl w:ilvl="0" w:tplc="14C64E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F34DE"/>
    <w:multiLevelType w:val="hybridMultilevel"/>
    <w:tmpl w:val="E1AAD510"/>
    <w:lvl w:ilvl="0" w:tplc="873EF120">
      <w:start w:val="1"/>
      <w:numFmt w:val="lowerLetter"/>
      <w:lvlText w:val="%1)"/>
      <w:lvlJc w:val="left"/>
      <w:pPr>
        <w:ind w:left="2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>
    <w:nsid w:val="374D3259"/>
    <w:multiLevelType w:val="hybridMultilevel"/>
    <w:tmpl w:val="EA5C788C"/>
    <w:lvl w:ilvl="0" w:tplc="6D4A216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3BEB708E"/>
    <w:multiLevelType w:val="hybridMultilevel"/>
    <w:tmpl w:val="1A963FA6"/>
    <w:lvl w:ilvl="0" w:tplc="685026FA">
      <w:start w:val="1"/>
      <w:numFmt w:val="decimal"/>
      <w:lvlText w:val="%1."/>
      <w:lvlJc w:val="left"/>
      <w:pPr>
        <w:ind w:left="1854" w:hanging="360"/>
      </w:pPr>
      <w:rPr>
        <w:b w:val="0"/>
        <w:lang w:val="es-ES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DB87A9B"/>
    <w:multiLevelType w:val="hybridMultilevel"/>
    <w:tmpl w:val="886AC77A"/>
    <w:lvl w:ilvl="0" w:tplc="44E0C0F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>
    <w:nsid w:val="426C7574"/>
    <w:multiLevelType w:val="hybridMultilevel"/>
    <w:tmpl w:val="D762752E"/>
    <w:lvl w:ilvl="0" w:tplc="1E52B61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>
    <w:nsid w:val="48686F0C"/>
    <w:multiLevelType w:val="hybridMultilevel"/>
    <w:tmpl w:val="845065E2"/>
    <w:lvl w:ilvl="0" w:tplc="93BE5B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8B9277D"/>
    <w:multiLevelType w:val="hybridMultilevel"/>
    <w:tmpl w:val="6CBA92FE"/>
    <w:lvl w:ilvl="0" w:tplc="685026FA">
      <w:start w:val="1"/>
      <w:numFmt w:val="decimal"/>
      <w:lvlText w:val="%1."/>
      <w:lvlJc w:val="left"/>
      <w:pPr>
        <w:ind w:left="1854" w:hanging="360"/>
      </w:pPr>
      <w:rPr>
        <w:b w:val="0"/>
        <w:lang w:val="es-ES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4B2C21F9"/>
    <w:multiLevelType w:val="hybridMultilevel"/>
    <w:tmpl w:val="21E0CEB8"/>
    <w:lvl w:ilvl="0" w:tplc="6C7065AE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4FFE0E2C"/>
    <w:multiLevelType w:val="hybridMultilevel"/>
    <w:tmpl w:val="67443D78"/>
    <w:lvl w:ilvl="0" w:tplc="873EF120">
      <w:start w:val="1"/>
      <w:numFmt w:val="lowerLetter"/>
      <w:lvlText w:val="%1)"/>
      <w:lvlJc w:val="left"/>
      <w:pPr>
        <w:ind w:left="2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1">
    <w:nsid w:val="57E358CC"/>
    <w:multiLevelType w:val="hybridMultilevel"/>
    <w:tmpl w:val="CF52116E"/>
    <w:lvl w:ilvl="0" w:tplc="CE10C8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7655C83"/>
    <w:multiLevelType w:val="hybridMultilevel"/>
    <w:tmpl w:val="0D12C396"/>
    <w:lvl w:ilvl="0" w:tplc="685026FA">
      <w:start w:val="1"/>
      <w:numFmt w:val="decimal"/>
      <w:lvlText w:val="%1."/>
      <w:lvlJc w:val="left"/>
      <w:pPr>
        <w:ind w:left="1854" w:hanging="360"/>
      </w:pPr>
      <w:rPr>
        <w:b w:val="0"/>
        <w:lang w:val="es-ES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AFD3DE4"/>
    <w:multiLevelType w:val="hybridMultilevel"/>
    <w:tmpl w:val="569E52D4"/>
    <w:lvl w:ilvl="0" w:tplc="E77E5F5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6BB2C26"/>
    <w:multiLevelType w:val="hybridMultilevel"/>
    <w:tmpl w:val="17D218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>
    <w:nsid w:val="7DE63D82"/>
    <w:multiLevelType w:val="hybridMultilevel"/>
    <w:tmpl w:val="8CB8D934"/>
    <w:lvl w:ilvl="0" w:tplc="6D4A216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4"/>
  </w:num>
  <w:num w:numId="2">
    <w:abstractNumId w:val="21"/>
  </w:num>
  <w:num w:numId="3">
    <w:abstractNumId w:val="37"/>
  </w:num>
  <w:num w:numId="4">
    <w:abstractNumId w:val="35"/>
  </w:num>
  <w:num w:numId="5">
    <w:abstractNumId w:val="3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3"/>
  </w:num>
  <w:num w:numId="17">
    <w:abstractNumId w:val="14"/>
  </w:num>
  <w:num w:numId="18">
    <w:abstractNumId w:val="17"/>
  </w:num>
  <w:num w:numId="19">
    <w:abstractNumId w:val="29"/>
  </w:num>
  <w:num w:numId="20">
    <w:abstractNumId w:val="27"/>
  </w:num>
  <w:num w:numId="21">
    <w:abstractNumId w:val="31"/>
  </w:num>
  <w:num w:numId="22">
    <w:abstractNumId w:val="26"/>
  </w:num>
  <w:num w:numId="23">
    <w:abstractNumId w:val="16"/>
  </w:num>
  <w:num w:numId="24">
    <w:abstractNumId w:val="18"/>
  </w:num>
  <w:num w:numId="25">
    <w:abstractNumId w:val="15"/>
  </w:num>
  <w:num w:numId="26">
    <w:abstractNumId w:val="22"/>
  </w:num>
  <w:num w:numId="27">
    <w:abstractNumId w:val="25"/>
  </w:num>
  <w:num w:numId="28">
    <w:abstractNumId w:val="38"/>
  </w:num>
  <w:num w:numId="29">
    <w:abstractNumId w:val="19"/>
  </w:num>
  <w:num w:numId="30">
    <w:abstractNumId w:val="23"/>
  </w:num>
  <w:num w:numId="31">
    <w:abstractNumId w:val="30"/>
  </w:num>
  <w:num w:numId="32">
    <w:abstractNumId w:val="28"/>
  </w:num>
  <w:num w:numId="33">
    <w:abstractNumId w:val="20"/>
  </w:num>
  <w:num w:numId="34">
    <w:abstractNumId w:val="24"/>
  </w:num>
  <w:num w:numId="35">
    <w:abstractNumId w:val="1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0"/>
  </w:num>
  <w:num w:numId="39">
    <w:abstractNumId w:val="36"/>
  </w:num>
  <w:num w:numId="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45"/>
    <w:rsid w:val="00000872"/>
    <w:rsid w:val="00001A96"/>
    <w:rsid w:val="00002C81"/>
    <w:rsid w:val="00002CFF"/>
    <w:rsid w:val="00005D4D"/>
    <w:rsid w:val="00006BB9"/>
    <w:rsid w:val="00011A2A"/>
    <w:rsid w:val="00017CEC"/>
    <w:rsid w:val="000221C6"/>
    <w:rsid w:val="000259FC"/>
    <w:rsid w:val="000407F6"/>
    <w:rsid w:val="00045635"/>
    <w:rsid w:val="0004614F"/>
    <w:rsid w:val="00046CCC"/>
    <w:rsid w:val="00047465"/>
    <w:rsid w:val="00050570"/>
    <w:rsid w:val="0005103B"/>
    <w:rsid w:val="0005274F"/>
    <w:rsid w:val="00053825"/>
    <w:rsid w:val="00060F4C"/>
    <w:rsid w:val="0006138C"/>
    <w:rsid w:val="00062621"/>
    <w:rsid w:val="00062706"/>
    <w:rsid w:val="000639A1"/>
    <w:rsid w:val="00065AD7"/>
    <w:rsid w:val="00066B73"/>
    <w:rsid w:val="00067B7C"/>
    <w:rsid w:val="00074C69"/>
    <w:rsid w:val="00074DE9"/>
    <w:rsid w:val="00074E88"/>
    <w:rsid w:val="00082F7C"/>
    <w:rsid w:val="00083E35"/>
    <w:rsid w:val="000842DF"/>
    <w:rsid w:val="0008477A"/>
    <w:rsid w:val="00087F9B"/>
    <w:rsid w:val="00090814"/>
    <w:rsid w:val="00092CFF"/>
    <w:rsid w:val="00093E9A"/>
    <w:rsid w:val="000942C4"/>
    <w:rsid w:val="00095455"/>
    <w:rsid w:val="00095C83"/>
    <w:rsid w:val="000A0426"/>
    <w:rsid w:val="000A36A2"/>
    <w:rsid w:val="000A3BA0"/>
    <w:rsid w:val="000A450A"/>
    <w:rsid w:val="000A79E9"/>
    <w:rsid w:val="000B136C"/>
    <w:rsid w:val="000B21D5"/>
    <w:rsid w:val="000B2613"/>
    <w:rsid w:val="000B41D1"/>
    <w:rsid w:val="000B421B"/>
    <w:rsid w:val="000B57E7"/>
    <w:rsid w:val="000B68A3"/>
    <w:rsid w:val="000B68C3"/>
    <w:rsid w:val="000B6B14"/>
    <w:rsid w:val="000C2588"/>
    <w:rsid w:val="000C3494"/>
    <w:rsid w:val="000C73B8"/>
    <w:rsid w:val="000D098B"/>
    <w:rsid w:val="000D4853"/>
    <w:rsid w:val="000D77E4"/>
    <w:rsid w:val="000F09DF"/>
    <w:rsid w:val="000F2724"/>
    <w:rsid w:val="000F392A"/>
    <w:rsid w:val="000F61B2"/>
    <w:rsid w:val="000F7D10"/>
    <w:rsid w:val="001000C1"/>
    <w:rsid w:val="0010150E"/>
    <w:rsid w:val="00101E01"/>
    <w:rsid w:val="00103BDC"/>
    <w:rsid w:val="00105308"/>
    <w:rsid w:val="00105539"/>
    <w:rsid w:val="001075E9"/>
    <w:rsid w:val="00107AD7"/>
    <w:rsid w:val="00110ACD"/>
    <w:rsid w:val="00110D46"/>
    <w:rsid w:val="00111559"/>
    <w:rsid w:val="00111B01"/>
    <w:rsid w:val="00114509"/>
    <w:rsid w:val="0011676E"/>
    <w:rsid w:val="00116824"/>
    <w:rsid w:val="00120081"/>
    <w:rsid w:val="001204B3"/>
    <w:rsid w:val="001224D1"/>
    <w:rsid w:val="001243F7"/>
    <w:rsid w:val="001254A3"/>
    <w:rsid w:val="00126D0C"/>
    <w:rsid w:val="00127536"/>
    <w:rsid w:val="00131861"/>
    <w:rsid w:val="001343DE"/>
    <w:rsid w:val="00135DF7"/>
    <w:rsid w:val="00137988"/>
    <w:rsid w:val="00142A25"/>
    <w:rsid w:val="001466C5"/>
    <w:rsid w:val="0014671E"/>
    <w:rsid w:val="0014763D"/>
    <w:rsid w:val="00150B23"/>
    <w:rsid w:val="001529AA"/>
    <w:rsid w:val="00152C21"/>
    <w:rsid w:val="00156568"/>
    <w:rsid w:val="00160FF7"/>
    <w:rsid w:val="00161E15"/>
    <w:rsid w:val="001622AF"/>
    <w:rsid w:val="00163984"/>
    <w:rsid w:val="00163E0E"/>
    <w:rsid w:val="00165270"/>
    <w:rsid w:val="00166322"/>
    <w:rsid w:val="00171082"/>
    <w:rsid w:val="001726F3"/>
    <w:rsid w:val="001728A9"/>
    <w:rsid w:val="00174020"/>
    <w:rsid w:val="00180183"/>
    <w:rsid w:val="00183D88"/>
    <w:rsid w:val="001846F2"/>
    <w:rsid w:val="00185AEB"/>
    <w:rsid w:val="001871CE"/>
    <w:rsid w:val="001877CE"/>
    <w:rsid w:val="00196389"/>
    <w:rsid w:val="001A077F"/>
    <w:rsid w:val="001A1F00"/>
    <w:rsid w:val="001A5DB2"/>
    <w:rsid w:val="001B442E"/>
    <w:rsid w:val="001B5D8B"/>
    <w:rsid w:val="001B6470"/>
    <w:rsid w:val="001B7BAD"/>
    <w:rsid w:val="001C1A54"/>
    <w:rsid w:val="001C25D4"/>
    <w:rsid w:val="001C4ED5"/>
    <w:rsid w:val="001C5FCB"/>
    <w:rsid w:val="001C68AB"/>
    <w:rsid w:val="001C7A89"/>
    <w:rsid w:val="001D4505"/>
    <w:rsid w:val="001D4848"/>
    <w:rsid w:val="001D5947"/>
    <w:rsid w:val="001D5EF9"/>
    <w:rsid w:val="001D7058"/>
    <w:rsid w:val="001E136E"/>
    <w:rsid w:val="001E3F5B"/>
    <w:rsid w:val="001E4B50"/>
    <w:rsid w:val="001E59E8"/>
    <w:rsid w:val="001F0348"/>
    <w:rsid w:val="001F0416"/>
    <w:rsid w:val="001F3A24"/>
    <w:rsid w:val="001F7F3C"/>
    <w:rsid w:val="002001D2"/>
    <w:rsid w:val="00200D6C"/>
    <w:rsid w:val="00205B83"/>
    <w:rsid w:val="00212472"/>
    <w:rsid w:val="002133CD"/>
    <w:rsid w:val="002137F6"/>
    <w:rsid w:val="002167E7"/>
    <w:rsid w:val="00217C7F"/>
    <w:rsid w:val="00224CC1"/>
    <w:rsid w:val="0022765D"/>
    <w:rsid w:val="00227F05"/>
    <w:rsid w:val="00230CD9"/>
    <w:rsid w:val="0023156B"/>
    <w:rsid w:val="00234664"/>
    <w:rsid w:val="00235923"/>
    <w:rsid w:val="00237410"/>
    <w:rsid w:val="00237509"/>
    <w:rsid w:val="00240B5A"/>
    <w:rsid w:val="00241474"/>
    <w:rsid w:val="00241883"/>
    <w:rsid w:val="0024524D"/>
    <w:rsid w:val="00245BEB"/>
    <w:rsid w:val="00247070"/>
    <w:rsid w:val="00251EBA"/>
    <w:rsid w:val="00253AA3"/>
    <w:rsid w:val="00255A0A"/>
    <w:rsid w:val="002570EC"/>
    <w:rsid w:val="00262EB6"/>
    <w:rsid w:val="0026538B"/>
    <w:rsid w:val="00265EC4"/>
    <w:rsid w:val="0027236E"/>
    <w:rsid w:val="0028122F"/>
    <w:rsid w:val="00283D32"/>
    <w:rsid w:val="00283DAE"/>
    <w:rsid w:val="00283F63"/>
    <w:rsid w:val="002840D8"/>
    <w:rsid w:val="00284137"/>
    <w:rsid w:val="0028428F"/>
    <w:rsid w:val="00292F87"/>
    <w:rsid w:val="00293915"/>
    <w:rsid w:val="0029559E"/>
    <w:rsid w:val="00295F19"/>
    <w:rsid w:val="00296A8D"/>
    <w:rsid w:val="002A061F"/>
    <w:rsid w:val="002A2EFC"/>
    <w:rsid w:val="002A3744"/>
    <w:rsid w:val="002A6FA7"/>
    <w:rsid w:val="002B1ACE"/>
    <w:rsid w:val="002B31AB"/>
    <w:rsid w:val="002B38E2"/>
    <w:rsid w:val="002B414C"/>
    <w:rsid w:val="002B4301"/>
    <w:rsid w:val="002C0E18"/>
    <w:rsid w:val="002C33BB"/>
    <w:rsid w:val="002C6BDB"/>
    <w:rsid w:val="002D0F1F"/>
    <w:rsid w:val="002D11C4"/>
    <w:rsid w:val="002D1A78"/>
    <w:rsid w:val="002D4D40"/>
    <w:rsid w:val="002D4FAE"/>
    <w:rsid w:val="002D5AAC"/>
    <w:rsid w:val="002D7C8D"/>
    <w:rsid w:val="002E05B5"/>
    <w:rsid w:val="002E092A"/>
    <w:rsid w:val="002E0E1F"/>
    <w:rsid w:val="002E4A0D"/>
    <w:rsid w:val="002E4AF7"/>
    <w:rsid w:val="002E59E5"/>
    <w:rsid w:val="002E711E"/>
    <w:rsid w:val="002E780E"/>
    <w:rsid w:val="002F0264"/>
    <w:rsid w:val="002F13FE"/>
    <w:rsid w:val="002F18CA"/>
    <w:rsid w:val="002F1AE9"/>
    <w:rsid w:val="002F1BF3"/>
    <w:rsid w:val="002F3836"/>
    <w:rsid w:val="002F4DDC"/>
    <w:rsid w:val="002F554A"/>
    <w:rsid w:val="002F56B8"/>
    <w:rsid w:val="002F61A4"/>
    <w:rsid w:val="00300CEF"/>
    <w:rsid w:val="00301299"/>
    <w:rsid w:val="00305FD1"/>
    <w:rsid w:val="003103CE"/>
    <w:rsid w:val="003105A1"/>
    <w:rsid w:val="003209B3"/>
    <w:rsid w:val="00322004"/>
    <w:rsid w:val="003232EF"/>
    <w:rsid w:val="0032611F"/>
    <w:rsid w:val="00326433"/>
    <w:rsid w:val="00333B84"/>
    <w:rsid w:val="003402C2"/>
    <w:rsid w:val="00342415"/>
    <w:rsid w:val="0034430D"/>
    <w:rsid w:val="00345A21"/>
    <w:rsid w:val="00347264"/>
    <w:rsid w:val="00347F53"/>
    <w:rsid w:val="00351CB3"/>
    <w:rsid w:val="00357584"/>
    <w:rsid w:val="003664F5"/>
    <w:rsid w:val="00367191"/>
    <w:rsid w:val="00372D8B"/>
    <w:rsid w:val="00372EBE"/>
    <w:rsid w:val="0037397D"/>
    <w:rsid w:val="00380BDC"/>
    <w:rsid w:val="0038144F"/>
    <w:rsid w:val="00381C24"/>
    <w:rsid w:val="00384C28"/>
    <w:rsid w:val="0038703C"/>
    <w:rsid w:val="00390F18"/>
    <w:rsid w:val="0039425C"/>
    <w:rsid w:val="00394722"/>
    <w:rsid w:val="003958D0"/>
    <w:rsid w:val="003A16C3"/>
    <w:rsid w:val="003A44A2"/>
    <w:rsid w:val="003A685A"/>
    <w:rsid w:val="003A6A07"/>
    <w:rsid w:val="003B3467"/>
    <w:rsid w:val="003B3557"/>
    <w:rsid w:val="003B7A06"/>
    <w:rsid w:val="003C17D3"/>
    <w:rsid w:val="003C485E"/>
    <w:rsid w:val="003C4A3B"/>
    <w:rsid w:val="003C531F"/>
    <w:rsid w:val="003C5AD1"/>
    <w:rsid w:val="003C5E4C"/>
    <w:rsid w:val="003D611B"/>
    <w:rsid w:val="003D631C"/>
    <w:rsid w:val="003E10B8"/>
    <w:rsid w:val="003E1F6E"/>
    <w:rsid w:val="003E5082"/>
    <w:rsid w:val="003E6694"/>
    <w:rsid w:val="003F1506"/>
    <w:rsid w:val="003F21F7"/>
    <w:rsid w:val="003F4939"/>
    <w:rsid w:val="00403CB0"/>
    <w:rsid w:val="00403D7F"/>
    <w:rsid w:val="00404ED9"/>
    <w:rsid w:val="00406E5F"/>
    <w:rsid w:val="0040791B"/>
    <w:rsid w:val="004101F4"/>
    <w:rsid w:val="00413F5D"/>
    <w:rsid w:val="00414383"/>
    <w:rsid w:val="004151E3"/>
    <w:rsid w:val="00416E5E"/>
    <w:rsid w:val="00420751"/>
    <w:rsid w:val="004207B2"/>
    <w:rsid w:val="00423E9E"/>
    <w:rsid w:val="0042402B"/>
    <w:rsid w:val="00425C0E"/>
    <w:rsid w:val="00426DD4"/>
    <w:rsid w:val="004319E1"/>
    <w:rsid w:val="00435264"/>
    <w:rsid w:val="00435B87"/>
    <w:rsid w:val="00440FD3"/>
    <w:rsid w:val="00446327"/>
    <w:rsid w:val="00454E07"/>
    <w:rsid w:val="00455AF8"/>
    <w:rsid w:val="0045612B"/>
    <w:rsid w:val="004563C7"/>
    <w:rsid w:val="004574F4"/>
    <w:rsid w:val="00457A7E"/>
    <w:rsid w:val="00462E3A"/>
    <w:rsid w:val="00462F2A"/>
    <w:rsid w:val="00465820"/>
    <w:rsid w:val="00465EBF"/>
    <w:rsid w:val="00471C9C"/>
    <w:rsid w:val="004744DF"/>
    <w:rsid w:val="00477976"/>
    <w:rsid w:val="00480744"/>
    <w:rsid w:val="00483E60"/>
    <w:rsid w:val="004855CA"/>
    <w:rsid w:val="00486D51"/>
    <w:rsid w:val="004875CF"/>
    <w:rsid w:val="00490023"/>
    <w:rsid w:val="0049139C"/>
    <w:rsid w:val="004925CB"/>
    <w:rsid w:val="004970FE"/>
    <w:rsid w:val="004A1EF9"/>
    <w:rsid w:val="004A41E2"/>
    <w:rsid w:val="004A4750"/>
    <w:rsid w:val="004A4DE6"/>
    <w:rsid w:val="004B11AB"/>
    <w:rsid w:val="004B1EB5"/>
    <w:rsid w:val="004B2685"/>
    <w:rsid w:val="004B33B3"/>
    <w:rsid w:val="004B35FA"/>
    <w:rsid w:val="004B4176"/>
    <w:rsid w:val="004B59D4"/>
    <w:rsid w:val="004C1261"/>
    <w:rsid w:val="004C12C3"/>
    <w:rsid w:val="004C2985"/>
    <w:rsid w:val="004C3956"/>
    <w:rsid w:val="004C60F8"/>
    <w:rsid w:val="004C67B3"/>
    <w:rsid w:val="004C7709"/>
    <w:rsid w:val="004D01A9"/>
    <w:rsid w:val="004D42FC"/>
    <w:rsid w:val="004D7AFD"/>
    <w:rsid w:val="004E4B46"/>
    <w:rsid w:val="004E526A"/>
    <w:rsid w:val="004F0537"/>
    <w:rsid w:val="004F05A6"/>
    <w:rsid w:val="004F11D3"/>
    <w:rsid w:val="004F1612"/>
    <w:rsid w:val="004F1CA8"/>
    <w:rsid w:val="004F1EB4"/>
    <w:rsid w:val="004F4147"/>
    <w:rsid w:val="004F4AD7"/>
    <w:rsid w:val="004F72B2"/>
    <w:rsid w:val="00500F5D"/>
    <w:rsid w:val="0050108D"/>
    <w:rsid w:val="00503D66"/>
    <w:rsid w:val="005044BC"/>
    <w:rsid w:val="00505227"/>
    <w:rsid w:val="00510172"/>
    <w:rsid w:val="005101B4"/>
    <w:rsid w:val="00510B7E"/>
    <w:rsid w:val="00510C2E"/>
    <w:rsid w:val="005111FD"/>
    <w:rsid w:val="0052192D"/>
    <w:rsid w:val="00522995"/>
    <w:rsid w:val="00531BEE"/>
    <w:rsid w:val="00533309"/>
    <w:rsid w:val="00533F1C"/>
    <w:rsid w:val="00536CEB"/>
    <w:rsid w:val="00536CED"/>
    <w:rsid w:val="00540B04"/>
    <w:rsid w:val="00541AD0"/>
    <w:rsid w:val="00542D8C"/>
    <w:rsid w:val="005445B3"/>
    <w:rsid w:val="00544BB1"/>
    <w:rsid w:val="00544DD6"/>
    <w:rsid w:val="0055237F"/>
    <w:rsid w:val="005627A8"/>
    <w:rsid w:val="00565971"/>
    <w:rsid w:val="00566892"/>
    <w:rsid w:val="0056787C"/>
    <w:rsid w:val="00572E19"/>
    <w:rsid w:val="00573B17"/>
    <w:rsid w:val="0058587B"/>
    <w:rsid w:val="00585966"/>
    <w:rsid w:val="00585BEE"/>
    <w:rsid w:val="005868FF"/>
    <w:rsid w:val="005930C9"/>
    <w:rsid w:val="00593458"/>
    <w:rsid w:val="00595726"/>
    <w:rsid w:val="00595CB1"/>
    <w:rsid w:val="00597AA0"/>
    <w:rsid w:val="005A404B"/>
    <w:rsid w:val="005A4F11"/>
    <w:rsid w:val="005A6086"/>
    <w:rsid w:val="005B3E01"/>
    <w:rsid w:val="005B57DE"/>
    <w:rsid w:val="005C1E00"/>
    <w:rsid w:val="005C202A"/>
    <w:rsid w:val="005C3DDC"/>
    <w:rsid w:val="005C4906"/>
    <w:rsid w:val="005C4DC6"/>
    <w:rsid w:val="005D0F23"/>
    <w:rsid w:val="005D1C87"/>
    <w:rsid w:val="005D560B"/>
    <w:rsid w:val="005E63EC"/>
    <w:rsid w:val="005E68BF"/>
    <w:rsid w:val="005E7E3D"/>
    <w:rsid w:val="005F0B42"/>
    <w:rsid w:val="005F2D12"/>
    <w:rsid w:val="005F34D2"/>
    <w:rsid w:val="005F6318"/>
    <w:rsid w:val="00601CFF"/>
    <w:rsid w:val="006061A8"/>
    <w:rsid w:val="00611E1F"/>
    <w:rsid w:val="00614642"/>
    <w:rsid w:val="006201A8"/>
    <w:rsid w:val="0062345F"/>
    <w:rsid w:val="00625A44"/>
    <w:rsid w:val="00625DEC"/>
    <w:rsid w:val="00626366"/>
    <w:rsid w:val="00627B30"/>
    <w:rsid w:val="006313AD"/>
    <w:rsid w:val="006321CE"/>
    <w:rsid w:val="00634655"/>
    <w:rsid w:val="00636FCD"/>
    <w:rsid w:val="00641C9D"/>
    <w:rsid w:val="0064627E"/>
    <w:rsid w:val="0064668A"/>
    <w:rsid w:val="00647752"/>
    <w:rsid w:val="00650B1E"/>
    <w:rsid w:val="00650B7C"/>
    <w:rsid w:val="006538A0"/>
    <w:rsid w:val="006542BD"/>
    <w:rsid w:val="00654365"/>
    <w:rsid w:val="00655A21"/>
    <w:rsid w:val="0066087D"/>
    <w:rsid w:val="00664177"/>
    <w:rsid w:val="006664CA"/>
    <w:rsid w:val="006704C8"/>
    <w:rsid w:val="006723D8"/>
    <w:rsid w:val="006724FD"/>
    <w:rsid w:val="00672B40"/>
    <w:rsid w:val="00673ACD"/>
    <w:rsid w:val="00674B57"/>
    <w:rsid w:val="00677999"/>
    <w:rsid w:val="006808A9"/>
    <w:rsid w:val="006856C5"/>
    <w:rsid w:val="006869B1"/>
    <w:rsid w:val="00686BD6"/>
    <w:rsid w:val="00690B28"/>
    <w:rsid w:val="00691A35"/>
    <w:rsid w:val="00692F23"/>
    <w:rsid w:val="00693D9C"/>
    <w:rsid w:val="00694985"/>
    <w:rsid w:val="00694AE6"/>
    <w:rsid w:val="00695186"/>
    <w:rsid w:val="0069603A"/>
    <w:rsid w:val="00696593"/>
    <w:rsid w:val="006A1404"/>
    <w:rsid w:val="006A47A4"/>
    <w:rsid w:val="006A74B8"/>
    <w:rsid w:val="006C55D8"/>
    <w:rsid w:val="006C5650"/>
    <w:rsid w:val="006D3125"/>
    <w:rsid w:val="006D3D8C"/>
    <w:rsid w:val="006E2258"/>
    <w:rsid w:val="006E3593"/>
    <w:rsid w:val="006F0FC6"/>
    <w:rsid w:val="006F35EE"/>
    <w:rsid w:val="006F53BD"/>
    <w:rsid w:val="007021FF"/>
    <w:rsid w:val="00703406"/>
    <w:rsid w:val="0070409C"/>
    <w:rsid w:val="00705898"/>
    <w:rsid w:val="00705CCA"/>
    <w:rsid w:val="00707366"/>
    <w:rsid w:val="007076CB"/>
    <w:rsid w:val="00710556"/>
    <w:rsid w:val="007110B9"/>
    <w:rsid w:val="007117FE"/>
    <w:rsid w:val="00711FB6"/>
    <w:rsid w:val="007124E4"/>
    <w:rsid w:val="00714A96"/>
    <w:rsid w:val="00714CC5"/>
    <w:rsid w:val="00714F3B"/>
    <w:rsid w:val="00716820"/>
    <w:rsid w:val="00717610"/>
    <w:rsid w:val="00721485"/>
    <w:rsid w:val="00721764"/>
    <w:rsid w:val="00722EED"/>
    <w:rsid w:val="007255C0"/>
    <w:rsid w:val="00727280"/>
    <w:rsid w:val="00732DB0"/>
    <w:rsid w:val="007354EB"/>
    <w:rsid w:val="007362BC"/>
    <w:rsid w:val="0073786D"/>
    <w:rsid w:val="00740611"/>
    <w:rsid w:val="0074482A"/>
    <w:rsid w:val="007456C0"/>
    <w:rsid w:val="00747B07"/>
    <w:rsid w:val="00750D38"/>
    <w:rsid w:val="00753655"/>
    <w:rsid w:val="0075659F"/>
    <w:rsid w:val="007578ED"/>
    <w:rsid w:val="007627AD"/>
    <w:rsid w:val="00764288"/>
    <w:rsid w:val="00766FAC"/>
    <w:rsid w:val="00771A6F"/>
    <w:rsid w:val="00772DE5"/>
    <w:rsid w:val="007732E5"/>
    <w:rsid w:val="007741B7"/>
    <w:rsid w:val="007758B6"/>
    <w:rsid w:val="00777E11"/>
    <w:rsid w:val="00781B3F"/>
    <w:rsid w:val="00782B0D"/>
    <w:rsid w:val="00791773"/>
    <w:rsid w:val="00792467"/>
    <w:rsid w:val="007967DF"/>
    <w:rsid w:val="00796855"/>
    <w:rsid w:val="007A0D9C"/>
    <w:rsid w:val="007A1242"/>
    <w:rsid w:val="007A21BA"/>
    <w:rsid w:val="007A5240"/>
    <w:rsid w:val="007A52F0"/>
    <w:rsid w:val="007A590A"/>
    <w:rsid w:val="007A722F"/>
    <w:rsid w:val="007A7C82"/>
    <w:rsid w:val="007B0541"/>
    <w:rsid w:val="007B08A3"/>
    <w:rsid w:val="007B2C96"/>
    <w:rsid w:val="007B3C71"/>
    <w:rsid w:val="007B4C3C"/>
    <w:rsid w:val="007B5670"/>
    <w:rsid w:val="007B641D"/>
    <w:rsid w:val="007B66FC"/>
    <w:rsid w:val="007B7BB9"/>
    <w:rsid w:val="007C6300"/>
    <w:rsid w:val="007C65BA"/>
    <w:rsid w:val="007C7848"/>
    <w:rsid w:val="007D0FD3"/>
    <w:rsid w:val="007D6DE4"/>
    <w:rsid w:val="007D7835"/>
    <w:rsid w:val="007E0DCF"/>
    <w:rsid w:val="007E11AE"/>
    <w:rsid w:val="007E4520"/>
    <w:rsid w:val="007E5D3A"/>
    <w:rsid w:val="007E664D"/>
    <w:rsid w:val="007F43F9"/>
    <w:rsid w:val="007F44AC"/>
    <w:rsid w:val="007F77BE"/>
    <w:rsid w:val="00804A85"/>
    <w:rsid w:val="00805907"/>
    <w:rsid w:val="00805B2B"/>
    <w:rsid w:val="008060A7"/>
    <w:rsid w:val="00811380"/>
    <w:rsid w:val="00813A07"/>
    <w:rsid w:val="0081415A"/>
    <w:rsid w:val="00815E45"/>
    <w:rsid w:val="008166EE"/>
    <w:rsid w:val="00816BF0"/>
    <w:rsid w:val="00822461"/>
    <w:rsid w:val="00823120"/>
    <w:rsid w:val="00823304"/>
    <w:rsid w:val="0082344F"/>
    <w:rsid w:val="00832504"/>
    <w:rsid w:val="008334F6"/>
    <w:rsid w:val="00834B71"/>
    <w:rsid w:val="008359DB"/>
    <w:rsid w:val="008362D3"/>
    <w:rsid w:val="0084755D"/>
    <w:rsid w:val="00852308"/>
    <w:rsid w:val="00852563"/>
    <w:rsid w:val="00856FAF"/>
    <w:rsid w:val="008579C3"/>
    <w:rsid w:val="00857A0C"/>
    <w:rsid w:val="00857B6B"/>
    <w:rsid w:val="0086445C"/>
    <w:rsid w:val="00867E40"/>
    <w:rsid w:val="00874282"/>
    <w:rsid w:val="00875382"/>
    <w:rsid w:val="008761A4"/>
    <w:rsid w:val="00876523"/>
    <w:rsid w:val="0087765E"/>
    <w:rsid w:val="00883ECB"/>
    <w:rsid w:val="00884E3B"/>
    <w:rsid w:val="0088744A"/>
    <w:rsid w:val="00887BA6"/>
    <w:rsid w:val="008929E4"/>
    <w:rsid w:val="008931DB"/>
    <w:rsid w:val="00893B46"/>
    <w:rsid w:val="00897907"/>
    <w:rsid w:val="008A08D7"/>
    <w:rsid w:val="008A13F9"/>
    <w:rsid w:val="008A5706"/>
    <w:rsid w:val="008B0531"/>
    <w:rsid w:val="008B2CB2"/>
    <w:rsid w:val="008B53A0"/>
    <w:rsid w:val="008B6514"/>
    <w:rsid w:val="008C0C60"/>
    <w:rsid w:val="008C14FD"/>
    <w:rsid w:val="008D1BCC"/>
    <w:rsid w:val="008D5DB6"/>
    <w:rsid w:val="008D7777"/>
    <w:rsid w:val="008E0396"/>
    <w:rsid w:val="008E0657"/>
    <w:rsid w:val="008E06E9"/>
    <w:rsid w:val="008E5391"/>
    <w:rsid w:val="008F6CB6"/>
    <w:rsid w:val="008F762B"/>
    <w:rsid w:val="008F7868"/>
    <w:rsid w:val="008F7EDD"/>
    <w:rsid w:val="00901DC0"/>
    <w:rsid w:val="00904099"/>
    <w:rsid w:val="00906890"/>
    <w:rsid w:val="009139A1"/>
    <w:rsid w:val="00914564"/>
    <w:rsid w:val="0091634B"/>
    <w:rsid w:val="00916396"/>
    <w:rsid w:val="009203FF"/>
    <w:rsid w:val="00921F18"/>
    <w:rsid w:val="009227F0"/>
    <w:rsid w:val="009254CF"/>
    <w:rsid w:val="00925CD3"/>
    <w:rsid w:val="00932206"/>
    <w:rsid w:val="00942C58"/>
    <w:rsid w:val="00946900"/>
    <w:rsid w:val="00950842"/>
    <w:rsid w:val="009514CD"/>
    <w:rsid w:val="00951972"/>
    <w:rsid w:val="009532A9"/>
    <w:rsid w:val="00953415"/>
    <w:rsid w:val="00956A3C"/>
    <w:rsid w:val="0096199E"/>
    <w:rsid w:val="00963777"/>
    <w:rsid w:val="00964DCC"/>
    <w:rsid w:val="009667F2"/>
    <w:rsid w:val="00972B52"/>
    <w:rsid w:val="00974E3D"/>
    <w:rsid w:val="00981200"/>
    <w:rsid w:val="00981D12"/>
    <w:rsid w:val="0098367E"/>
    <w:rsid w:val="009859D6"/>
    <w:rsid w:val="00987344"/>
    <w:rsid w:val="00991298"/>
    <w:rsid w:val="00991761"/>
    <w:rsid w:val="00993555"/>
    <w:rsid w:val="00994309"/>
    <w:rsid w:val="009946B1"/>
    <w:rsid w:val="00994DB2"/>
    <w:rsid w:val="009A0EBB"/>
    <w:rsid w:val="009A2515"/>
    <w:rsid w:val="009A35DC"/>
    <w:rsid w:val="009A5E60"/>
    <w:rsid w:val="009A6D27"/>
    <w:rsid w:val="009A7689"/>
    <w:rsid w:val="009B452A"/>
    <w:rsid w:val="009B4E5E"/>
    <w:rsid w:val="009B64F3"/>
    <w:rsid w:val="009C1E57"/>
    <w:rsid w:val="009C4459"/>
    <w:rsid w:val="009D037D"/>
    <w:rsid w:val="009D26CE"/>
    <w:rsid w:val="009D3F7F"/>
    <w:rsid w:val="009D53FE"/>
    <w:rsid w:val="009E47F0"/>
    <w:rsid w:val="009E591D"/>
    <w:rsid w:val="009F75DF"/>
    <w:rsid w:val="009F7EEB"/>
    <w:rsid w:val="00A04092"/>
    <w:rsid w:val="00A06346"/>
    <w:rsid w:val="00A066B6"/>
    <w:rsid w:val="00A07570"/>
    <w:rsid w:val="00A07DB7"/>
    <w:rsid w:val="00A1002C"/>
    <w:rsid w:val="00A125C0"/>
    <w:rsid w:val="00A146EF"/>
    <w:rsid w:val="00A15035"/>
    <w:rsid w:val="00A17DFD"/>
    <w:rsid w:val="00A20A2F"/>
    <w:rsid w:val="00A2275C"/>
    <w:rsid w:val="00A23652"/>
    <w:rsid w:val="00A24289"/>
    <w:rsid w:val="00A244F8"/>
    <w:rsid w:val="00A26E2B"/>
    <w:rsid w:val="00A270A8"/>
    <w:rsid w:val="00A3257F"/>
    <w:rsid w:val="00A40309"/>
    <w:rsid w:val="00A40D70"/>
    <w:rsid w:val="00A448D4"/>
    <w:rsid w:val="00A45284"/>
    <w:rsid w:val="00A45F60"/>
    <w:rsid w:val="00A47B89"/>
    <w:rsid w:val="00A51C78"/>
    <w:rsid w:val="00A520A4"/>
    <w:rsid w:val="00A52A4A"/>
    <w:rsid w:val="00A53C5B"/>
    <w:rsid w:val="00A55D13"/>
    <w:rsid w:val="00A56921"/>
    <w:rsid w:val="00A56D91"/>
    <w:rsid w:val="00A56E31"/>
    <w:rsid w:val="00A57368"/>
    <w:rsid w:val="00A57C45"/>
    <w:rsid w:val="00A619B6"/>
    <w:rsid w:val="00A62121"/>
    <w:rsid w:val="00A67451"/>
    <w:rsid w:val="00A81257"/>
    <w:rsid w:val="00A84E97"/>
    <w:rsid w:val="00A8592F"/>
    <w:rsid w:val="00A917B3"/>
    <w:rsid w:val="00A943DB"/>
    <w:rsid w:val="00A95AC6"/>
    <w:rsid w:val="00A968F7"/>
    <w:rsid w:val="00A97D98"/>
    <w:rsid w:val="00AA31FD"/>
    <w:rsid w:val="00AA5E3C"/>
    <w:rsid w:val="00AA65E3"/>
    <w:rsid w:val="00AA683D"/>
    <w:rsid w:val="00AB4B51"/>
    <w:rsid w:val="00AC0120"/>
    <w:rsid w:val="00AC3068"/>
    <w:rsid w:val="00AC5CE7"/>
    <w:rsid w:val="00AD29A4"/>
    <w:rsid w:val="00AD539D"/>
    <w:rsid w:val="00AD6460"/>
    <w:rsid w:val="00AD6B70"/>
    <w:rsid w:val="00AD7DCD"/>
    <w:rsid w:val="00AE0E02"/>
    <w:rsid w:val="00AE2C44"/>
    <w:rsid w:val="00AE4CC4"/>
    <w:rsid w:val="00AF3FCA"/>
    <w:rsid w:val="00AF4FF7"/>
    <w:rsid w:val="00AF706E"/>
    <w:rsid w:val="00B02117"/>
    <w:rsid w:val="00B03F2E"/>
    <w:rsid w:val="00B05659"/>
    <w:rsid w:val="00B05ED3"/>
    <w:rsid w:val="00B07DE6"/>
    <w:rsid w:val="00B10CC7"/>
    <w:rsid w:val="00B117A8"/>
    <w:rsid w:val="00B1267F"/>
    <w:rsid w:val="00B13013"/>
    <w:rsid w:val="00B15EE6"/>
    <w:rsid w:val="00B2189E"/>
    <w:rsid w:val="00B22F2B"/>
    <w:rsid w:val="00B230E7"/>
    <w:rsid w:val="00B23895"/>
    <w:rsid w:val="00B23903"/>
    <w:rsid w:val="00B23D57"/>
    <w:rsid w:val="00B30BCD"/>
    <w:rsid w:val="00B326F2"/>
    <w:rsid w:val="00B33558"/>
    <w:rsid w:val="00B339B3"/>
    <w:rsid w:val="00B344EC"/>
    <w:rsid w:val="00B357C8"/>
    <w:rsid w:val="00B3661C"/>
    <w:rsid w:val="00B40224"/>
    <w:rsid w:val="00B41379"/>
    <w:rsid w:val="00B456F4"/>
    <w:rsid w:val="00B511D3"/>
    <w:rsid w:val="00B537A0"/>
    <w:rsid w:val="00B555CA"/>
    <w:rsid w:val="00B57A75"/>
    <w:rsid w:val="00B6021F"/>
    <w:rsid w:val="00B6236A"/>
    <w:rsid w:val="00B62458"/>
    <w:rsid w:val="00B62BA9"/>
    <w:rsid w:val="00B67AD1"/>
    <w:rsid w:val="00B67F8A"/>
    <w:rsid w:val="00B714AC"/>
    <w:rsid w:val="00B71644"/>
    <w:rsid w:val="00B73137"/>
    <w:rsid w:val="00B7513F"/>
    <w:rsid w:val="00B755AA"/>
    <w:rsid w:val="00B83E41"/>
    <w:rsid w:val="00B8418B"/>
    <w:rsid w:val="00B84811"/>
    <w:rsid w:val="00B865AC"/>
    <w:rsid w:val="00B91D42"/>
    <w:rsid w:val="00B9340A"/>
    <w:rsid w:val="00B96303"/>
    <w:rsid w:val="00BA728C"/>
    <w:rsid w:val="00BB421A"/>
    <w:rsid w:val="00BC51A5"/>
    <w:rsid w:val="00BD18C7"/>
    <w:rsid w:val="00BD33EE"/>
    <w:rsid w:val="00BD47A3"/>
    <w:rsid w:val="00BD5798"/>
    <w:rsid w:val="00BD6AEF"/>
    <w:rsid w:val="00BE24BD"/>
    <w:rsid w:val="00BE6CBE"/>
    <w:rsid w:val="00BE7CDC"/>
    <w:rsid w:val="00BF35AE"/>
    <w:rsid w:val="00BF47CC"/>
    <w:rsid w:val="00BF6C48"/>
    <w:rsid w:val="00C0105E"/>
    <w:rsid w:val="00C01D99"/>
    <w:rsid w:val="00C111C8"/>
    <w:rsid w:val="00C12977"/>
    <w:rsid w:val="00C12CB0"/>
    <w:rsid w:val="00C16EFD"/>
    <w:rsid w:val="00C17A31"/>
    <w:rsid w:val="00C17C3C"/>
    <w:rsid w:val="00C20580"/>
    <w:rsid w:val="00C220CD"/>
    <w:rsid w:val="00C23380"/>
    <w:rsid w:val="00C23E4A"/>
    <w:rsid w:val="00C27ECE"/>
    <w:rsid w:val="00C33381"/>
    <w:rsid w:val="00C33BE5"/>
    <w:rsid w:val="00C36147"/>
    <w:rsid w:val="00C36687"/>
    <w:rsid w:val="00C36DD1"/>
    <w:rsid w:val="00C37D51"/>
    <w:rsid w:val="00C4315D"/>
    <w:rsid w:val="00C43314"/>
    <w:rsid w:val="00C43932"/>
    <w:rsid w:val="00C44174"/>
    <w:rsid w:val="00C503E4"/>
    <w:rsid w:val="00C50C06"/>
    <w:rsid w:val="00C518D7"/>
    <w:rsid w:val="00C56FC7"/>
    <w:rsid w:val="00C60F0C"/>
    <w:rsid w:val="00C60F67"/>
    <w:rsid w:val="00C632A3"/>
    <w:rsid w:val="00C65833"/>
    <w:rsid w:val="00C66A4B"/>
    <w:rsid w:val="00C67A0C"/>
    <w:rsid w:val="00C71921"/>
    <w:rsid w:val="00C76505"/>
    <w:rsid w:val="00C80223"/>
    <w:rsid w:val="00C80492"/>
    <w:rsid w:val="00C805C9"/>
    <w:rsid w:val="00C80B25"/>
    <w:rsid w:val="00C80FA7"/>
    <w:rsid w:val="00C85D37"/>
    <w:rsid w:val="00C86047"/>
    <w:rsid w:val="00C91270"/>
    <w:rsid w:val="00C91C95"/>
    <w:rsid w:val="00C94E30"/>
    <w:rsid w:val="00C967BE"/>
    <w:rsid w:val="00C967F5"/>
    <w:rsid w:val="00C974BB"/>
    <w:rsid w:val="00CA1679"/>
    <w:rsid w:val="00CA332D"/>
    <w:rsid w:val="00CA53C3"/>
    <w:rsid w:val="00CA56CA"/>
    <w:rsid w:val="00CA63A3"/>
    <w:rsid w:val="00CB12DE"/>
    <w:rsid w:val="00CB1C25"/>
    <w:rsid w:val="00CB2C9C"/>
    <w:rsid w:val="00CB3FD4"/>
    <w:rsid w:val="00CB5C8D"/>
    <w:rsid w:val="00CB797D"/>
    <w:rsid w:val="00CC0EC6"/>
    <w:rsid w:val="00CC127A"/>
    <w:rsid w:val="00CC5E55"/>
    <w:rsid w:val="00CD008F"/>
    <w:rsid w:val="00CD2954"/>
    <w:rsid w:val="00CD5569"/>
    <w:rsid w:val="00CD64E5"/>
    <w:rsid w:val="00CE10AF"/>
    <w:rsid w:val="00CE1C11"/>
    <w:rsid w:val="00CE2916"/>
    <w:rsid w:val="00CE7F6B"/>
    <w:rsid w:val="00CF00D8"/>
    <w:rsid w:val="00CF1046"/>
    <w:rsid w:val="00CF1205"/>
    <w:rsid w:val="00D01D38"/>
    <w:rsid w:val="00D0350E"/>
    <w:rsid w:val="00D04D8F"/>
    <w:rsid w:val="00D06717"/>
    <w:rsid w:val="00D06861"/>
    <w:rsid w:val="00D07C74"/>
    <w:rsid w:val="00D137A0"/>
    <w:rsid w:val="00D167F6"/>
    <w:rsid w:val="00D16FC1"/>
    <w:rsid w:val="00D20F9F"/>
    <w:rsid w:val="00D21ECD"/>
    <w:rsid w:val="00D24D0D"/>
    <w:rsid w:val="00D25E87"/>
    <w:rsid w:val="00D2627D"/>
    <w:rsid w:val="00D30471"/>
    <w:rsid w:val="00D31607"/>
    <w:rsid w:val="00D32735"/>
    <w:rsid w:val="00D33E46"/>
    <w:rsid w:val="00D37DFC"/>
    <w:rsid w:val="00D4073E"/>
    <w:rsid w:val="00D4092F"/>
    <w:rsid w:val="00D4172D"/>
    <w:rsid w:val="00D42212"/>
    <w:rsid w:val="00D427F0"/>
    <w:rsid w:val="00D443BF"/>
    <w:rsid w:val="00D4670D"/>
    <w:rsid w:val="00D5042C"/>
    <w:rsid w:val="00D547D2"/>
    <w:rsid w:val="00D556BD"/>
    <w:rsid w:val="00D55755"/>
    <w:rsid w:val="00D62CA7"/>
    <w:rsid w:val="00D64D63"/>
    <w:rsid w:val="00D65D04"/>
    <w:rsid w:val="00D72B41"/>
    <w:rsid w:val="00D73288"/>
    <w:rsid w:val="00D7594D"/>
    <w:rsid w:val="00D809C0"/>
    <w:rsid w:val="00D80BBB"/>
    <w:rsid w:val="00D80F60"/>
    <w:rsid w:val="00D86748"/>
    <w:rsid w:val="00D869D5"/>
    <w:rsid w:val="00D86D4D"/>
    <w:rsid w:val="00D90138"/>
    <w:rsid w:val="00D95DC4"/>
    <w:rsid w:val="00D97788"/>
    <w:rsid w:val="00D97CC4"/>
    <w:rsid w:val="00DA14DC"/>
    <w:rsid w:val="00DA2A21"/>
    <w:rsid w:val="00DA5549"/>
    <w:rsid w:val="00DA58E8"/>
    <w:rsid w:val="00DA67E4"/>
    <w:rsid w:val="00DA6F26"/>
    <w:rsid w:val="00DB49D4"/>
    <w:rsid w:val="00DB62CA"/>
    <w:rsid w:val="00DC0A0A"/>
    <w:rsid w:val="00DC12A9"/>
    <w:rsid w:val="00DD13C1"/>
    <w:rsid w:val="00DD37E5"/>
    <w:rsid w:val="00DD4024"/>
    <w:rsid w:val="00DD678D"/>
    <w:rsid w:val="00DD7AA1"/>
    <w:rsid w:val="00DD7CB8"/>
    <w:rsid w:val="00DE24C9"/>
    <w:rsid w:val="00DE2960"/>
    <w:rsid w:val="00DE296C"/>
    <w:rsid w:val="00DE44AD"/>
    <w:rsid w:val="00DE4B8E"/>
    <w:rsid w:val="00DE4E26"/>
    <w:rsid w:val="00DF0658"/>
    <w:rsid w:val="00DF4DC1"/>
    <w:rsid w:val="00DF73E4"/>
    <w:rsid w:val="00E00BCA"/>
    <w:rsid w:val="00E010E9"/>
    <w:rsid w:val="00E01FAD"/>
    <w:rsid w:val="00E05DE3"/>
    <w:rsid w:val="00E067DC"/>
    <w:rsid w:val="00E1175B"/>
    <w:rsid w:val="00E117CF"/>
    <w:rsid w:val="00E11E2F"/>
    <w:rsid w:val="00E12E19"/>
    <w:rsid w:val="00E135E2"/>
    <w:rsid w:val="00E16B3B"/>
    <w:rsid w:val="00E207EF"/>
    <w:rsid w:val="00E36CB9"/>
    <w:rsid w:val="00E4178C"/>
    <w:rsid w:val="00E42D1E"/>
    <w:rsid w:val="00E50A8D"/>
    <w:rsid w:val="00E50D89"/>
    <w:rsid w:val="00E51956"/>
    <w:rsid w:val="00E530E2"/>
    <w:rsid w:val="00E56BD8"/>
    <w:rsid w:val="00E60C6B"/>
    <w:rsid w:val="00E612CC"/>
    <w:rsid w:val="00E61FD0"/>
    <w:rsid w:val="00E64DE7"/>
    <w:rsid w:val="00E6754E"/>
    <w:rsid w:val="00E732ED"/>
    <w:rsid w:val="00E73F76"/>
    <w:rsid w:val="00E7578B"/>
    <w:rsid w:val="00E764C8"/>
    <w:rsid w:val="00E7728F"/>
    <w:rsid w:val="00E77296"/>
    <w:rsid w:val="00E77E97"/>
    <w:rsid w:val="00E811E0"/>
    <w:rsid w:val="00E83236"/>
    <w:rsid w:val="00E92A88"/>
    <w:rsid w:val="00E952E3"/>
    <w:rsid w:val="00EA164F"/>
    <w:rsid w:val="00EA2B8D"/>
    <w:rsid w:val="00EA3568"/>
    <w:rsid w:val="00EA4457"/>
    <w:rsid w:val="00EA4B0D"/>
    <w:rsid w:val="00EB1F9D"/>
    <w:rsid w:val="00EB4909"/>
    <w:rsid w:val="00EB4D55"/>
    <w:rsid w:val="00EB79B7"/>
    <w:rsid w:val="00EC4C56"/>
    <w:rsid w:val="00EC596C"/>
    <w:rsid w:val="00ED194D"/>
    <w:rsid w:val="00EF1360"/>
    <w:rsid w:val="00EF1445"/>
    <w:rsid w:val="00EF2792"/>
    <w:rsid w:val="00EF3220"/>
    <w:rsid w:val="00EF5167"/>
    <w:rsid w:val="00F02032"/>
    <w:rsid w:val="00F02894"/>
    <w:rsid w:val="00F03916"/>
    <w:rsid w:val="00F0638E"/>
    <w:rsid w:val="00F079D3"/>
    <w:rsid w:val="00F14D8F"/>
    <w:rsid w:val="00F1789D"/>
    <w:rsid w:val="00F242C8"/>
    <w:rsid w:val="00F246DD"/>
    <w:rsid w:val="00F26EB4"/>
    <w:rsid w:val="00F30061"/>
    <w:rsid w:val="00F33F10"/>
    <w:rsid w:val="00F353E7"/>
    <w:rsid w:val="00F35F41"/>
    <w:rsid w:val="00F363F7"/>
    <w:rsid w:val="00F36C15"/>
    <w:rsid w:val="00F37024"/>
    <w:rsid w:val="00F40701"/>
    <w:rsid w:val="00F4150B"/>
    <w:rsid w:val="00F42080"/>
    <w:rsid w:val="00F43067"/>
    <w:rsid w:val="00F44B33"/>
    <w:rsid w:val="00F44C38"/>
    <w:rsid w:val="00F53A2A"/>
    <w:rsid w:val="00F562B7"/>
    <w:rsid w:val="00F6173E"/>
    <w:rsid w:val="00F61DC8"/>
    <w:rsid w:val="00F643BF"/>
    <w:rsid w:val="00F666B1"/>
    <w:rsid w:val="00F7025A"/>
    <w:rsid w:val="00F740EE"/>
    <w:rsid w:val="00F7463F"/>
    <w:rsid w:val="00F7719F"/>
    <w:rsid w:val="00F81D93"/>
    <w:rsid w:val="00F85446"/>
    <w:rsid w:val="00F87408"/>
    <w:rsid w:val="00F90374"/>
    <w:rsid w:val="00F9261C"/>
    <w:rsid w:val="00F94155"/>
    <w:rsid w:val="00F9529D"/>
    <w:rsid w:val="00F964FA"/>
    <w:rsid w:val="00F967BC"/>
    <w:rsid w:val="00F97809"/>
    <w:rsid w:val="00FA0BA1"/>
    <w:rsid w:val="00FA2D43"/>
    <w:rsid w:val="00FA310B"/>
    <w:rsid w:val="00FA3525"/>
    <w:rsid w:val="00FA3A35"/>
    <w:rsid w:val="00FA514F"/>
    <w:rsid w:val="00FB0883"/>
    <w:rsid w:val="00FB5230"/>
    <w:rsid w:val="00FB55D1"/>
    <w:rsid w:val="00FB5DCA"/>
    <w:rsid w:val="00FC01A2"/>
    <w:rsid w:val="00FC2D2F"/>
    <w:rsid w:val="00FC46A5"/>
    <w:rsid w:val="00FC5468"/>
    <w:rsid w:val="00FC687D"/>
    <w:rsid w:val="00FC6955"/>
    <w:rsid w:val="00FD0694"/>
    <w:rsid w:val="00FD26B3"/>
    <w:rsid w:val="00FD2C51"/>
    <w:rsid w:val="00FD2EF7"/>
    <w:rsid w:val="00FD4AD6"/>
    <w:rsid w:val="00FD4DA1"/>
    <w:rsid w:val="00FE22CC"/>
    <w:rsid w:val="00FE49B5"/>
    <w:rsid w:val="00FE4BF1"/>
    <w:rsid w:val="00FE68B8"/>
    <w:rsid w:val="00FE7DA5"/>
    <w:rsid w:val="00FF0A90"/>
    <w:rsid w:val="00FF1A29"/>
    <w:rsid w:val="00FF1E5D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87BA6"/>
    <w:pPr>
      <w:spacing w:line="240" w:lineRule="atLeast"/>
    </w:pPr>
    <w:rPr>
      <w:lang w:val="es-ES" w:eastAsia="es-ES"/>
    </w:rPr>
  </w:style>
  <w:style w:type="paragraph" w:styleId="Heading1">
    <w:name w:val="heading 1"/>
    <w:aliases w:val="Table_G"/>
    <w:basedOn w:val="SingleTxtG"/>
    <w:next w:val="SingleTxtG"/>
    <w:rsid w:val="004875CF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semiHidden/>
    <w:rsid w:val="00C7650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C76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765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765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7650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C7650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C7650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C765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basedOn w:val="DefaultParagraphFont"/>
    <w:rsid w:val="00C7650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</w:style>
  <w:style w:type="paragraph" w:styleId="Header">
    <w:name w:val="header"/>
    <w:aliases w:val="6_G"/>
    <w:basedOn w:val="Normal"/>
    <w:next w:val="Normal"/>
    <w:rsid w:val="008D5DB6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qFormat/>
    <w:rsid w:val="00C76505"/>
    <w:pPr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rsid w:val="00C7650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7650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650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rsid w:val="00C76505"/>
    <w:rPr>
      <w:sz w:val="16"/>
    </w:rPr>
  </w:style>
  <w:style w:type="paragraph" w:customStyle="1" w:styleId="XLargeG">
    <w:name w:val="__XLarge_G"/>
    <w:basedOn w:val="Normal"/>
    <w:next w:val="Normal"/>
    <w:rsid w:val="00C7650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rsid w:val="00C7650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table" w:styleId="TableGrid">
    <w:name w:val="Table Grid"/>
    <w:basedOn w:val="TableNormal"/>
    <w:semiHidden/>
    <w:rsid w:val="00C7650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C76505"/>
    <w:pPr>
      <w:numPr>
        <w:numId w:val="3"/>
      </w:numPr>
    </w:pPr>
  </w:style>
  <w:style w:type="numbering" w:styleId="1ai">
    <w:name w:val="Outline List 1"/>
    <w:basedOn w:val="NoList"/>
    <w:semiHidden/>
    <w:rsid w:val="00C76505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C76505"/>
  </w:style>
  <w:style w:type="numbering" w:styleId="ArticleSection">
    <w:name w:val="Outline List 3"/>
    <w:basedOn w:val="NoList"/>
    <w:semiHidden/>
    <w:rsid w:val="00C76505"/>
    <w:pPr>
      <w:numPr>
        <w:numId w:val="5"/>
      </w:numPr>
    </w:pPr>
  </w:style>
  <w:style w:type="paragraph" w:styleId="Closing">
    <w:name w:val="Closing"/>
    <w:basedOn w:val="Normal"/>
    <w:semiHidden/>
    <w:rsid w:val="00C76505"/>
    <w:pPr>
      <w:ind w:left="4252"/>
    </w:pPr>
  </w:style>
  <w:style w:type="character" w:styleId="HTMLCite">
    <w:name w:val="HTML Cite"/>
    <w:basedOn w:val="DefaultParagraphFont"/>
    <w:semiHidden/>
    <w:rsid w:val="00C76505"/>
    <w:rPr>
      <w:i/>
      <w:iCs/>
    </w:rPr>
  </w:style>
  <w:style w:type="character" w:styleId="HTMLCode">
    <w:name w:val="HTML Code"/>
    <w:basedOn w:val="DefaultParagraphFont"/>
    <w:semiHidden/>
    <w:rsid w:val="00C76505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C76505"/>
    <w:pPr>
      <w:spacing w:after="120"/>
      <w:ind w:left="283"/>
    </w:pPr>
  </w:style>
  <w:style w:type="paragraph" w:styleId="ListContinue2">
    <w:name w:val="List Continue 2"/>
    <w:basedOn w:val="Normal"/>
    <w:semiHidden/>
    <w:rsid w:val="00C76505"/>
    <w:pPr>
      <w:spacing w:after="120"/>
      <w:ind w:left="566"/>
    </w:pPr>
  </w:style>
  <w:style w:type="paragraph" w:styleId="ListContinue3">
    <w:name w:val="List Continue 3"/>
    <w:basedOn w:val="Normal"/>
    <w:semiHidden/>
    <w:rsid w:val="00C76505"/>
    <w:pPr>
      <w:spacing w:after="120"/>
      <w:ind w:left="849"/>
    </w:pPr>
  </w:style>
  <w:style w:type="paragraph" w:styleId="ListContinue4">
    <w:name w:val="List Continue 4"/>
    <w:basedOn w:val="Normal"/>
    <w:semiHidden/>
    <w:rsid w:val="00C76505"/>
    <w:pPr>
      <w:spacing w:after="120"/>
      <w:ind w:left="1132"/>
    </w:pPr>
  </w:style>
  <w:style w:type="paragraph" w:styleId="ListContinue5">
    <w:name w:val="List Continue 5"/>
    <w:basedOn w:val="Normal"/>
    <w:semiHidden/>
    <w:rsid w:val="00C76505"/>
    <w:pPr>
      <w:spacing w:after="120"/>
      <w:ind w:left="1415"/>
    </w:pPr>
  </w:style>
  <w:style w:type="character" w:styleId="HTMLDefinition">
    <w:name w:val="HTML Definition"/>
    <w:basedOn w:val="DefaultParagraphFont"/>
    <w:semiHidden/>
    <w:rsid w:val="00C76505"/>
    <w:rPr>
      <w:i/>
      <w:iCs/>
    </w:rPr>
  </w:style>
  <w:style w:type="paragraph" w:styleId="HTMLAddress">
    <w:name w:val="HTML Address"/>
    <w:basedOn w:val="Normal"/>
    <w:semiHidden/>
    <w:rsid w:val="00C76505"/>
    <w:rPr>
      <w:i/>
      <w:iCs/>
    </w:rPr>
  </w:style>
  <w:style w:type="paragraph" w:styleId="EnvelopeAddress">
    <w:name w:val="envelope address"/>
    <w:basedOn w:val="Normal"/>
    <w:semiHidden/>
    <w:rsid w:val="00C7650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basedOn w:val="DefaultParagraphFont"/>
    <w:semiHidden/>
    <w:rsid w:val="00C76505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765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semiHidden/>
    <w:rsid w:val="00C76505"/>
  </w:style>
  <w:style w:type="character" w:styleId="Emphasis">
    <w:name w:val="Emphasis"/>
    <w:basedOn w:val="DefaultParagraphFont"/>
    <w:semiHidden/>
    <w:rsid w:val="00C76505"/>
    <w:rPr>
      <w:i/>
      <w:iCs/>
    </w:rPr>
  </w:style>
  <w:style w:type="paragraph" w:styleId="Date">
    <w:name w:val="Date"/>
    <w:basedOn w:val="Normal"/>
    <w:next w:val="Normal"/>
    <w:semiHidden/>
    <w:rsid w:val="00C76505"/>
  </w:style>
  <w:style w:type="paragraph" w:styleId="Signature">
    <w:name w:val="Signature"/>
    <w:basedOn w:val="Normal"/>
    <w:semiHidden/>
    <w:rsid w:val="00C76505"/>
    <w:pPr>
      <w:ind w:left="4252"/>
    </w:pPr>
  </w:style>
  <w:style w:type="paragraph" w:styleId="E-mailSignature">
    <w:name w:val="E-mail Signature"/>
    <w:basedOn w:val="Normal"/>
    <w:semiHidden/>
    <w:rsid w:val="00C76505"/>
  </w:style>
  <w:style w:type="character" w:styleId="Hyperlink">
    <w:name w:val="Hyperlink"/>
    <w:basedOn w:val="DefaultParagraphFont"/>
    <w:rsid w:val="007A0D9C"/>
    <w:rPr>
      <w:color w:val="0000FF"/>
      <w:u w:val="none"/>
    </w:rPr>
  </w:style>
  <w:style w:type="character" w:styleId="FollowedHyperlink">
    <w:name w:val="FollowedHyperlink"/>
    <w:basedOn w:val="DefaultParagraphFont"/>
    <w:rsid w:val="007A0D9C"/>
    <w:rPr>
      <w:color w:val="0000FF"/>
      <w:u w:val="none"/>
    </w:rPr>
  </w:style>
  <w:style w:type="paragraph" w:styleId="HTMLPreformatted">
    <w:name w:val="HTML Preformatted"/>
    <w:basedOn w:val="Normal"/>
    <w:semiHidden/>
    <w:rsid w:val="00C76505"/>
    <w:rPr>
      <w:rFonts w:ascii="Courier New" w:hAnsi="Courier New" w:cs="Courier New"/>
    </w:rPr>
  </w:style>
  <w:style w:type="paragraph" w:styleId="List">
    <w:name w:val="List"/>
    <w:basedOn w:val="Normal"/>
    <w:semiHidden/>
    <w:rsid w:val="00C76505"/>
    <w:pPr>
      <w:ind w:left="283" w:hanging="283"/>
    </w:pPr>
  </w:style>
  <w:style w:type="paragraph" w:styleId="List2">
    <w:name w:val="List 2"/>
    <w:basedOn w:val="Normal"/>
    <w:semiHidden/>
    <w:rsid w:val="00C76505"/>
    <w:pPr>
      <w:ind w:left="566" w:hanging="283"/>
    </w:pPr>
  </w:style>
  <w:style w:type="paragraph" w:styleId="List3">
    <w:name w:val="List 3"/>
    <w:basedOn w:val="Normal"/>
    <w:semiHidden/>
    <w:rsid w:val="00C76505"/>
    <w:pPr>
      <w:ind w:left="849" w:hanging="283"/>
    </w:pPr>
  </w:style>
  <w:style w:type="paragraph" w:styleId="List4">
    <w:name w:val="List 4"/>
    <w:basedOn w:val="Normal"/>
    <w:semiHidden/>
    <w:rsid w:val="00C76505"/>
    <w:pPr>
      <w:ind w:left="1132" w:hanging="283"/>
    </w:pPr>
  </w:style>
  <w:style w:type="paragraph" w:styleId="List5">
    <w:name w:val="List 5"/>
    <w:basedOn w:val="Normal"/>
    <w:semiHidden/>
    <w:rsid w:val="00C76505"/>
    <w:pPr>
      <w:ind w:left="1415" w:hanging="283"/>
    </w:pPr>
  </w:style>
  <w:style w:type="paragraph" w:styleId="ListNumber">
    <w:name w:val="List Number"/>
    <w:basedOn w:val="Normal"/>
    <w:semiHidden/>
    <w:rsid w:val="00C76505"/>
    <w:pPr>
      <w:numPr>
        <w:numId w:val="6"/>
      </w:numPr>
    </w:pPr>
  </w:style>
  <w:style w:type="paragraph" w:styleId="ListNumber2">
    <w:name w:val="List Number 2"/>
    <w:basedOn w:val="Normal"/>
    <w:semiHidden/>
    <w:rsid w:val="00C76505"/>
    <w:pPr>
      <w:numPr>
        <w:numId w:val="7"/>
      </w:numPr>
    </w:pPr>
  </w:style>
  <w:style w:type="paragraph" w:styleId="ListNumber3">
    <w:name w:val="List Number 3"/>
    <w:basedOn w:val="Normal"/>
    <w:semiHidden/>
    <w:rsid w:val="00C76505"/>
    <w:pPr>
      <w:numPr>
        <w:numId w:val="8"/>
      </w:numPr>
    </w:pPr>
  </w:style>
  <w:style w:type="paragraph" w:styleId="ListNumber4">
    <w:name w:val="List Number 4"/>
    <w:basedOn w:val="Normal"/>
    <w:semiHidden/>
    <w:rsid w:val="00C76505"/>
    <w:pPr>
      <w:numPr>
        <w:numId w:val="9"/>
      </w:numPr>
    </w:pPr>
  </w:style>
  <w:style w:type="paragraph" w:styleId="ListNumber5">
    <w:name w:val="List Number 5"/>
    <w:basedOn w:val="Normal"/>
    <w:semiHidden/>
    <w:rsid w:val="00C76505"/>
    <w:pPr>
      <w:numPr>
        <w:numId w:val="10"/>
      </w:numPr>
    </w:pPr>
  </w:style>
  <w:style w:type="paragraph" w:styleId="ListBullet">
    <w:name w:val="List Bullet"/>
    <w:basedOn w:val="Normal"/>
    <w:semiHidden/>
    <w:rsid w:val="00C76505"/>
    <w:pPr>
      <w:numPr>
        <w:numId w:val="11"/>
      </w:numPr>
    </w:pPr>
  </w:style>
  <w:style w:type="paragraph" w:styleId="ListBullet2">
    <w:name w:val="List Bullet 2"/>
    <w:basedOn w:val="Normal"/>
    <w:semiHidden/>
    <w:rsid w:val="00C76505"/>
    <w:pPr>
      <w:numPr>
        <w:numId w:val="12"/>
      </w:numPr>
    </w:pPr>
  </w:style>
  <w:style w:type="paragraph" w:styleId="ListBullet3">
    <w:name w:val="List Bullet 3"/>
    <w:basedOn w:val="Normal"/>
    <w:semiHidden/>
    <w:rsid w:val="00C76505"/>
    <w:pPr>
      <w:numPr>
        <w:numId w:val="13"/>
      </w:numPr>
    </w:pPr>
  </w:style>
  <w:style w:type="paragraph" w:styleId="ListBullet4">
    <w:name w:val="List Bullet 4"/>
    <w:basedOn w:val="Normal"/>
    <w:semiHidden/>
    <w:rsid w:val="00C76505"/>
    <w:pPr>
      <w:numPr>
        <w:numId w:val="14"/>
      </w:numPr>
    </w:pPr>
  </w:style>
  <w:style w:type="paragraph" w:styleId="ListBullet5">
    <w:name w:val="List Bullet 5"/>
    <w:basedOn w:val="Normal"/>
    <w:semiHidden/>
    <w:rsid w:val="00C76505"/>
    <w:pPr>
      <w:numPr>
        <w:numId w:val="15"/>
      </w:numPr>
    </w:pPr>
  </w:style>
  <w:style w:type="character" w:styleId="HTMLTypewriter">
    <w:name w:val="HTML Typewriter"/>
    <w:basedOn w:val="DefaultParagraphFont"/>
    <w:semiHidden/>
    <w:rsid w:val="00C76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76505"/>
    <w:rPr>
      <w:sz w:val="24"/>
      <w:szCs w:val="24"/>
    </w:rPr>
  </w:style>
  <w:style w:type="character" w:styleId="LineNumber">
    <w:name w:val="line number"/>
    <w:basedOn w:val="DefaultParagraphFont"/>
    <w:semiHidden/>
    <w:rsid w:val="00C76505"/>
  </w:style>
  <w:style w:type="character" w:styleId="PageNumber">
    <w:name w:val="page number"/>
    <w:aliases w:val="7_G"/>
    <w:basedOn w:val="DefaultParagraphFont"/>
    <w:rsid w:val="00C76505"/>
    <w:rPr>
      <w:b/>
      <w:sz w:val="18"/>
    </w:rPr>
  </w:style>
  <w:style w:type="character" w:styleId="EndnoteReference">
    <w:name w:val="endnote reference"/>
    <w:aliases w:val="1_G"/>
    <w:basedOn w:val="FootnoteReference"/>
    <w:rsid w:val="00C76505"/>
    <w:rPr>
      <w:rFonts w:ascii="Times New Roman" w:hAnsi="Times New Roman"/>
      <w:sz w:val="18"/>
      <w:vertAlign w:val="superscript"/>
    </w:rPr>
  </w:style>
  <w:style w:type="paragraph" w:styleId="EnvelopeReturn">
    <w:name w:val="envelope return"/>
    <w:basedOn w:val="Normal"/>
    <w:semiHidden/>
    <w:rsid w:val="00C76505"/>
    <w:rPr>
      <w:rFonts w:ascii="Arial" w:hAnsi="Arial" w:cs="Arial"/>
    </w:rPr>
  </w:style>
  <w:style w:type="paragraph" w:styleId="Salutation">
    <w:name w:val="Salutation"/>
    <w:basedOn w:val="Normal"/>
    <w:next w:val="Normal"/>
    <w:semiHidden/>
    <w:rsid w:val="00C76505"/>
  </w:style>
  <w:style w:type="paragraph" w:styleId="BodyTextIndent2">
    <w:name w:val="Body Text Indent 2"/>
    <w:basedOn w:val="Normal"/>
    <w:semiHidden/>
    <w:rsid w:val="00C7650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76505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semiHidden/>
    <w:rsid w:val="00C76505"/>
    <w:pPr>
      <w:spacing w:after="120"/>
      <w:ind w:left="283"/>
    </w:pPr>
  </w:style>
  <w:style w:type="paragraph" w:styleId="NormalIndent">
    <w:name w:val="Normal Indent"/>
    <w:basedOn w:val="Normal"/>
    <w:semiHidden/>
    <w:rsid w:val="00C76505"/>
    <w:pPr>
      <w:ind w:left="567"/>
    </w:pPr>
  </w:style>
  <w:style w:type="paragraph" w:styleId="Subtitle">
    <w:name w:val="Subtitle"/>
    <w:basedOn w:val="Normal"/>
    <w:semiHidden/>
    <w:rsid w:val="00C765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semiHidden/>
    <w:rsid w:val="00C76505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76505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76505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C76505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76505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76505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76505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76505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76505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76505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76505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76505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C76505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76505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76505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76505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C7650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semiHidden/>
    <w:rsid w:val="00C76505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76505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76505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76505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76505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76505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76505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semiHidden/>
    <w:rsid w:val="00C76505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76505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76505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semiHidden/>
    <w:rsid w:val="00C76505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C76505"/>
    <w:pPr>
      <w:spacing w:after="120"/>
      <w:ind w:left="1440" w:right="1440"/>
    </w:pPr>
  </w:style>
  <w:style w:type="character" w:styleId="Strong">
    <w:name w:val="Strong"/>
    <w:basedOn w:val="DefaultParagraphFont"/>
    <w:semiHidden/>
    <w:rsid w:val="00C76505"/>
    <w:rPr>
      <w:b/>
      <w:bCs/>
    </w:rPr>
  </w:style>
  <w:style w:type="paragraph" w:styleId="BodyText">
    <w:name w:val="Body Text"/>
    <w:basedOn w:val="Normal"/>
    <w:semiHidden/>
    <w:rsid w:val="00C76505"/>
    <w:pPr>
      <w:spacing w:after="120"/>
    </w:pPr>
  </w:style>
  <w:style w:type="paragraph" w:styleId="BodyText2">
    <w:name w:val="Body Text 2"/>
    <w:basedOn w:val="Normal"/>
    <w:semiHidden/>
    <w:rsid w:val="00C76505"/>
    <w:pPr>
      <w:spacing w:after="120" w:line="480" w:lineRule="auto"/>
    </w:pPr>
  </w:style>
  <w:style w:type="paragraph" w:styleId="BodyText3">
    <w:name w:val="Body Text 3"/>
    <w:basedOn w:val="Normal"/>
    <w:semiHidden/>
    <w:rsid w:val="00C7650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76505"/>
    <w:pPr>
      <w:ind w:firstLine="210"/>
    </w:pPr>
  </w:style>
  <w:style w:type="paragraph" w:styleId="BodyTextFirstIndent2">
    <w:name w:val="Body Text First Indent 2"/>
    <w:basedOn w:val="BodyTextIndent"/>
    <w:semiHidden/>
    <w:rsid w:val="00C76505"/>
    <w:pPr>
      <w:ind w:firstLine="210"/>
    </w:pPr>
  </w:style>
  <w:style w:type="paragraph" w:styleId="EndnoteText">
    <w:name w:val="endnote text"/>
    <w:aliases w:val="2_G"/>
    <w:basedOn w:val="FootnoteText"/>
    <w:rsid w:val="00C76505"/>
  </w:style>
  <w:style w:type="paragraph" w:styleId="PlainText">
    <w:name w:val="Plain Text"/>
    <w:basedOn w:val="Normal"/>
    <w:semiHidden/>
    <w:rsid w:val="00C76505"/>
    <w:rPr>
      <w:rFonts w:ascii="Courier New" w:hAnsi="Courier New" w:cs="Courier New"/>
    </w:rPr>
  </w:style>
  <w:style w:type="paragraph" w:styleId="Title">
    <w:name w:val="Title"/>
    <w:basedOn w:val="Normal"/>
    <w:semiHidden/>
    <w:rsid w:val="00C7650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basedOn w:val="DefaultParagraphFont"/>
    <w:semiHidden/>
    <w:rsid w:val="00C76505"/>
    <w:rPr>
      <w:i/>
      <w:iCs/>
    </w:rPr>
  </w:style>
  <w:style w:type="paragraph" w:customStyle="1" w:styleId="Bullet1G">
    <w:name w:val="_Bullet 1_G"/>
    <w:basedOn w:val="Normal"/>
    <w:qFormat/>
    <w:rsid w:val="00C76505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qFormat/>
    <w:rsid w:val="00C76505"/>
    <w:pPr>
      <w:numPr>
        <w:numId w:val="2"/>
      </w:numPr>
      <w:spacing w:after="120"/>
      <w:ind w:right="1134"/>
      <w:jc w:val="both"/>
    </w:pPr>
  </w:style>
  <w:style w:type="paragraph" w:styleId="BalloonText">
    <w:name w:val="Balloon Text"/>
    <w:basedOn w:val="Normal"/>
    <w:link w:val="BalloonTextChar"/>
    <w:semiHidden/>
    <w:rsid w:val="001E5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59E8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semiHidden/>
    <w:rsid w:val="008F6CB6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2167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67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167E7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16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7E7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87BA6"/>
    <w:pPr>
      <w:spacing w:line="240" w:lineRule="atLeast"/>
    </w:pPr>
    <w:rPr>
      <w:lang w:val="es-ES" w:eastAsia="es-ES"/>
    </w:rPr>
  </w:style>
  <w:style w:type="paragraph" w:styleId="Heading1">
    <w:name w:val="heading 1"/>
    <w:aliases w:val="Table_G"/>
    <w:basedOn w:val="SingleTxtG"/>
    <w:next w:val="SingleTxtG"/>
    <w:rsid w:val="004875CF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semiHidden/>
    <w:rsid w:val="00C7650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C76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765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765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7650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C7650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C7650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C765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basedOn w:val="DefaultParagraphFont"/>
    <w:rsid w:val="00C7650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7650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</w:style>
  <w:style w:type="paragraph" w:styleId="Header">
    <w:name w:val="header"/>
    <w:aliases w:val="6_G"/>
    <w:basedOn w:val="Normal"/>
    <w:next w:val="Normal"/>
    <w:rsid w:val="008D5DB6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qFormat/>
    <w:rsid w:val="00C76505"/>
    <w:pPr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rsid w:val="00C7650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7650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650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rsid w:val="00C76505"/>
    <w:rPr>
      <w:sz w:val="16"/>
    </w:rPr>
  </w:style>
  <w:style w:type="paragraph" w:customStyle="1" w:styleId="XLargeG">
    <w:name w:val="__XLarge_G"/>
    <w:basedOn w:val="Normal"/>
    <w:next w:val="Normal"/>
    <w:rsid w:val="00C7650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rsid w:val="00C7650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table" w:styleId="TableGrid">
    <w:name w:val="Table Grid"/>
    <w:basedOn w:val="TableNormal"/>
    <w:semiHidden/>
    <w:rsid w:val="00C7650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C76505"/>
    <w:pPr>
      <w:numPr>
        <w:numId w:val="3"/>
      </w:numPr>
    </w:pPr>
  </w:style>
  <w:style w:type="numbering" w:styleId="1ai">
    <w:name w:val="Outline List 1"/>
    <w:basedOn w:val="NoList"/>
    <w:semiHidden/>
    <w:rsid w:val="00C76505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C76505"/>
  </w:style>
  <w:style w:type="numbering" w:styleId="ArticleSection">
    <w:name w:val="Outline List 3"/>
    <w:basedOn w:val="NoList"/>
    <w:semiHidden/>
    <w:rsid w:val="00C76505"/>
    <w:pPr>
      <w:numPr>
        <w:numId w:val="5"/>
      </w:numPr>
    </w:pPr>
  </w:style>
  <w:style w:type="paragraph" w:styleId="Closing">
    <w:name w:val="Closing"/>
    <w:basedOn w:val="Normal"/>
    <w:semiHidden/>
    <w:rsid w:val="00C76505"/>
    <w:pPr>
      <w:ind w:left="4252"/>
    </w:pPr>
  </w:style>
  <w:style w:type="character" w:styleId="HTMLCite">
    <w:name w:val="HTML Cite"/>
    <w:basedOn w:val="DefaultParagraphFont"/>
    <w:semiHidden/>
    <w:rsid w:val="00C76505"/>
    <w:rPr>
      <w:i/>
      <w:iCs/>
    </w:rPr>
  </w:style>
  <w:style w:type="character" w:styleId="HTMLCode">
    <w:name w:val="HTML Code"/>
    <w:basedOn w:val="DefaultParagraphFont"/>
    <w:semiHidden/>
    <w:rsid w:val="00C76505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C76505"/>
    <w:pPr>
      <w:spacing w:after="120"/>
      <w:ind w:left="283"/>
    </w:pPr>
  </w:style>
  <w:style w:type="paragraph" w:styleId="ListContinue2">
    <w:name w:val="List Continue 2"/>
    <w:basedOn w:val="Normal"/>
    <w:semiHidden/>
    <w:rsid w:val="00C76505"/>
    <w:pPr>
      <w:spacing w:after="120"/>
      <w:ind w:left="566"/>
    </w:pPr>
  </w:style>
  <w:style w:type="paragraph" w:styleId="ListContinue3">
    <w:name w:val="List Continue 3"/>
    <w:basedOn w:val="Normal"/>
    <w:semiHidden/>
    <w:rsid w:val="00C76505"/>
    <w:pPr>
      <w:spacing w:after="120"/>
      <w:ind w:left="849"/>
    </w:pPr>
  </w:style>
  <w:style w:type="paragraph" w:styleId="ListContinue4">
    <w:name w:val="List Continue 4"/>
    <w:basedOn w:val="Normal"/>
    <w:semiHidden/>
    <w:rsid w:val="00C76505"/>
    <w:pPr>
      <w:spacing w:after="120"/>
      <w:ind w:left="1132"/>
    </w:pPr>
  </w:style>
  <w:style w:type="paragraph" w:styleId="ListContinue5">
    <w:name w:val="List Continue 5"/>
    <w:basedOn w:val="Normal"/>
    <w:semiHidden/>
    <w:rsid w:val="00C76505"/>
    <w:pPr>
      <w:spacing w:after="120"/>
      <w:ind w:left="1415"/>
    </w:pPr>
  </w:style>
  <w:style w:type="character" w:styleId="HTMLDefinition">
    <w:name w:val="HTML Definition"/>
    <w:basedOn w:val="DefaultParagraphFont"/>
    <w:semiHidden/>
    <w:rsid w:val="00C76505"/>
    <w:rPr>
      <w:i/>
      <w:iCs/>
    </w:rPr>
  </w:style>
  <w:style w:type="paragraph" w:styleId="HTMLAddress">
    <w:name w:val="HTML Address"/>
    <w:basedOn w:val="Normal"/>
    <w:semiHidden/>
    <w:rsid w:val="00C76505"/>
    <w:rPr>
      <w:i/>
      <w:iCs/>
    </w:rPr>
  </w:style>
  <w:style w:type="paragraph" w:styleId="EnvelopeAddress">
    <w:name w:val="envelope address"/>
    <w:basedOn w:val="Normal"/>
    <w:semiHidden/>
    <w:rsid w:val="00C7650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basedOn w:val="DefaultParagraphFont"/>
    <w:semiHidden/>
    <w:rsid w:val="00C76505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765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semiHidden/>
    <w:rsid w:val="00C76505"/>
  </w:style>
  <w:style w:type="character" w:styleId="Emphasis">
    <w:name w:val="Emphasis"/>
    <w:basedOn w:val="DefaultParagraphFont"/>
    <w:semiHidden/>
    <w:rsid w:val="00C76505"/>
    <w:rPr>
      <w:i/>
      <w:iCs/>
    </w:rPr>
  </w:style>
  <w:style w:type="paragraph" w:styleId="Date">
    <w:name w:val="Date"/>
    <w:basedOn w:val="Normal"/>
    <w:next w:val="Normal"/>
    <w:semiHidden/>
    <w:rsid w:val="00C76505"/>
  </w:style>
  <w:style w:type="paragraph" w:styleId="Signature">
    <w:name w:val="Signature"/>
    <w:basedOn w:val="Normal"/>
    <w:semiHidden/>
    <w:rsid w:val="00C76505"/>
    <w:pPr>
      <w:ind w:left="4252"/>
    </w:pPr>
  </w:style>
  <w:style w:type="paragraph" w:styleId="E-mailSignature">
    <w:name w:val="E-mail Signature"/>
    <w:basedOn w:val="Normal"/>
    <w:semiHidden/>
    <w:rsid w:val="00C76505"/>
  </w:style>
  <w:style w:type="character" w:styleId="Hyperlink">
    <w:name w:val="Hyperlink"/>
    <w:basedOn w:val="DefaultParagraphFont"/>
    <w:rsid w:val="007A0D9C"/>
    <w:rPr>
      <w:color w:val="0000FF"/>
      <w:u w:val="none"/>
    </w:rPr>
  </w:style>
  <w:style w:type="character" w:styleId="FollowedHyperlink">
    <w:name w:val="FollowedHyperlink"/>
    <w:basedOn w:val="DefaultParagraphFont"/>
    <w:rsid w:val="007A0D9C"/>
    <w:rPr>
      <w:color w:val="0000FF"/>
      <w:u w:val="none"/>
    </w:rPr>
  </w:style>
  <w:style w:type="paragraph" w:styleId="HTMLPreformatted">
    <w:name w:val="HTML Preformatted"/>
    <w:basedOn w:val="Normal"/>
    <w:semiHidden/>
    <w:rsid w:val="00C76505"/>
    <w:rPr>
      <w:rFonts w:ascii="Courier New" w:hAnsi="Courier New" w:cs="Courier New"/>
    </w:rPr>
  </w:style>
  <w:style w:type="paragraph" w:styleId="List">
    <w:name w:val="List"/>
    <w:basedOn w:val="Normal"/>
    <w:semiHidden/>
    <w:rsid w:val="00C76505"/>
    <w:pPr>
      <w:ind w:left="283" w:hanging="283"/>
    </w:pPr>
  </w:style>
  <w:style w:type="paragraph" w:styleId="List2">
    <w:name w:val="List 2"/>
    <w:basedOn w:val="Normal"/>
    <w:semiHidden/>
    <w:rsid w:val="00C76505"/>
    <w:pPr>
      <w:ind w:left="566" w:hanging="283"/>
    </w:pPr>
  </w:style>
  <w:style w:type="paragraph" w:styleId="List3">
    <w:name w:val="List 3"/>
    <w:basedOn w:val="Normal"/>
    <w:semiHidden/>
    <w:rsid w:val="00C76505"/>
    <w:pPr>
      <w:ind w:left="849" w:hanging="283"/>
    </w:pPr>
  </w:style>
  <w:style w:type="paragraph" w:styleId="List4">
    <w:name w:val="List 4"/>
    <w:basedOn w:val="Normal"/>
    <w:semiHidden/>
    <w:rsid w:val="00C76505"/>
    <w:pPr>
      <w:ind w:left="1132" w:hanging="283"/>
    </w:pPr>
  </w:style>
  <w:style w:type="paragraph" w:styleId="List5">
    <w:name w:val="List 5"/>
    <w:basedOn w:val="Normal"/>
    <w:semiHidden/>
    <w:rsid w:val="00C76505"/>
    <w:pPr>
      <w:ind w:left="1415" w:hanging="283"/>
    </w:pPr>
  </w:style>
  <w:style w:type="paragraph" w:styleId="ListNumber">
    <w:name w:val="List Number"/>
    <w:basedOn w:val="Normal"/>
    <w:semiHidden/>
    <w:rsid w:val="00C76505"/>
    <w:pPr>
      <w:numPr>
        <w:numId w:val="6"/>
      </w:numPr>
    </w:pPr>
  </w:style>
  <w:style w:type="paragraph" w:styleId="ListNumber2">
    <w:name w:val="List Number 2"/>
    <w:basedOn w:val="Normal"/>
    <w:semiHidden/>
    <w:rsid w:val="00C76505"/>
    <w:pPr>
      <w:numPr>
        <w:numId w:val="7"/>
      </w:numPr>
    </w:pPr>
  </w:style>
  <w:style w:type="paragraph" w:styleId="ListNumber3">
    <w:name w:val="List Number 3"/>
    <w:basedOn w:val="Normal"/>
    <w:semiHidden/>
    <w:rsid w:val="00C76505"/>
    <w:pPr>
      <w:numPr>
        <w:numId w:val="8"/>
      </w:numPr>
    </w:pPr>
  </w:style>
  <w:style w:type="paragraph" w:styleId="ListNumber4">
    <w:name w:val="List Number 4"/>
    <w:basedOn w:val="Normal"/>
    <w:semiHidden/>
    <w:rsid w:val="00C76505"/>
    <w:pPr>
      <w:numPr>
        <w:numId w:val="9"/>
      </w:numPr>
    </w:pPr>
  </w:style>
  <w:style w:type="paragraph" w:styleId="ListNumber5">
    <w:name w:val="List Number 5"/>
    <w:basedOn w:val="Normal"/>
    <w:semiHidden/>
    <w:rsid w:val="00C76505"/>
    <w:pPr>
      <w:numPr>
        <w:numId w:val="10"/>
      </w:numPr>
    </w:pPr>
  </w:style>
  <w:style w:type="paragraph" w:styleId="ListBullet">
    <w:name w:val="List Bullet"/>
    <w:basedOn w:val="Normal"/>
    <w:semiHidden/>
    <w:rsid w:val="00C76505"/>
    <w:pPr>
      <w:numPr>
        <w:numId w:val="11"/>
      </w:numPr>
    </w:pPr>
  </w:style>
  <w:style w:type="paragraph" w:styleId="ListBullet2">
    <w:name w:val="List Bullet 2"/>
    <w:basedOn w:val="Normal"/>
    <w:semiHidden/>
    <w:rsid w:val="00C76505"/>
    <w:pPr>
      <w:numPr>
        <w:numId w:val="12"/>
      </w:numPr>
    </w:pPr>
  </w:style>
  <w:style w:type="paragraph" w:styleId="ListBullet3">
    <w:name w:val="List Bullet 3"/>
    <w:basedOn w:val="Normal"/>
    <w:semiHidden/>
    <w:rsid w:val="00C76505"/>
    <w:pPr>
      <w:numPr>
        <w:numId w:val="13"/>
      </w:numPr>
    </w:pPr>
  </w:style>
  <w:style w:type="paragraph" w:styleId="ListBullet4">
    <w:name w:val="List Bullet 4"/>
    <w:basedOn w:val="Normal"/>
    <w:semiHidden/>
    <w:rsid w:val="00C76505"/>
    <w:pPr>
      <w:numPr>
        <w:numId w:val="14"/>
      </w:numPr>
    </w:pPr>
  </w:style>
  <w:style w:type="paragraph" w:styleId="ListBullet5">
    <w:name w:val="List Bullet 5"/>
    <w:basedOn w:val="Normal"/>
    <w:semiHidden/>
    <w:rsid w:val="00C76505"/>
    <w:pPr>
      <w:numPr>
        <w:numId w:val="15"/>
      </w:numPr>
    </w:pPr>
  </w:style>
  <w:style w:type="character" w:styleId="HTMLTypewriter">
    <w:name w:val="HTML Typewriter"/>
    <w:basedOn w:val="DefaultParagraphFont"/>
    <w:semiHidden/>
    <w:rsid w:val="00C76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76505"/>
    <w:rPr>
      <w:sz w:val="24"/>
      <w:szCs w:val="24"/>
    </w:rPr>
  </w:style>
  <w:style w:type="character" w:styleId="LineNumber">
    <w:name w:val="line number"/>
    <w:basedOn w:val="DefaultParagraphFont"/>
    <w:semiHidden/>
    <w:rsid w:val="00C76505"/>
  </w:style>
  <w:style w:type="character" w:styleId="PageNumber">
    <w:name w:val="page number"/>
    <w:aliases w:val="7_G"/>
    <w:basedOn w:val="DefaultParagraphFont"/>
    <w:rsid w:val="00C76505"/>
    <w:rPr>
      <w:b/>
      <w:sz w:val="18"/>
    </w:rPr>
  </w:style>
  <w:style w:type="character" w:styleId="EndnoteReference">
    <w:name w:val="endnote reference"/>
    <w:aliases w:val="1_G"/>
    <w:basedOn w:val="FootnoteReference"/>
    <w:rsid w:val="00C76505"/>
    <w:rPr>
      <w:rFonts w:ascii="Times New Roman" w:hAnsi="Times New Roman"/>
      <w:sz w:val="18"/>
      <w:vertAlign w:val="superscript"/>
    </w:rPr>
  </w:style>
  <w:style w:type="paragraph" w:styleId="EnvelopeReturn">
    <w:name w:val="envelope return"/>
    <w:basedOn w:val="Normal"/>
    <w:semiHidden/>
    <w:rsid w:val="00C76505"/>
    <w:rPr>
      <w:rFonts w:ascii="Arial" w:hAnsi="Arial" w:cs="Arial"/>
    </w:rPr>
  </w:style>
  <w:style w:type="paragraph" w:styleId="Salutation">
    <w:name w:val="Salutation"/>
    <w:basedOn w:val="Normal"/>
    <w:next w:val="Normal"/>
    <w:semiHidden/>
    <w:rsid w:val="00C76505"/>
  </w:style>
  <w:style w:type="paragraph" w:styleId="BodyTextIndent2">
    <w:name w:val="Body Text Indent 2"/>
    <w:basedOn w:val="Normal"/>
    <w:semiHidden/>
    <w:rsid w:val="00C7650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76505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semiHidden/>
    <w:rsid w:val="00C76505"/>
    <w:pPr>
      <w:spacing w:after="120"/>
      <w:ind w:left="283"/>
    </w:pPr>
  </w:style>
  <w:style w:type="paragraph" w:styleId="NormalIndent">
    <w:name w:val="Normal Indent"/>
    <w:basedOn w:val="Normal"/>
    <w:semiHidden/>
    <w:rsid w:val="00C76505"/>
    <w:pPr>
      <w:ind w:left="567"/>
    </w:pPr>
  </w:style>
  <w:style w:type="paragraph" w:styleId="Subtitle">
    <w:name w:val="Subtitle"/>
    <w:basedOn w:val="Normal"/>
    <w:semiHidden/>
    <w:rsid w:val="00C765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semiHidden/>
    <w:rsid w:val="00C76505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76505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76505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C76505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76505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76505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76505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76505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76505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76505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76505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76505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C76505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76505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76505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76505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76505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76505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C7650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semiHidden/>
    <w:rsid w:val="00C76505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76505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C76505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76505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76505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76505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76505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76505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semiHidden/>
    <w:rsid w:val="00C76505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76505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76505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semiHidden/>
    <w:rsid w:val="00C76505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C76505"/>
    <w:pPr>
      <w:spacing w:after="120"/>
      <w:ind w:left="1440" w:right="1440"/>
    </w:pPr>
  </w:style>
  <w:style w:type="character" w:styleId="Strong">
    <w:name w:val="Strong"/>
    <w:basedOn w:val="DefaultParagraphFont"/>
    <w:semiHidden/>
    <w:rsid w:val="00C76505"/>
    <w:rPr>
      <w:b/>
      <w:bCs/>
    </w:rPr>
  </w:style>
  <w:style w:type="paragraph" w:styleId="BodyText">
    <w:name w:val="Body Text"/>
    <w:basedOn w:val="Normal"/>
    <w:semiHidden/>
    <w:rsid w:val="00C76505"/>
    <w:pPr>
      <w:spacing w:after="120"/>
    </w:pPr>
  </w:style>
  <w:style w:type="paragraph" w:styleId="BodyText2">
    <w:name w:val="Body Text 2"/>
    <w:basedOn w:val="Normal"/>
    <w:semiHidden/>
    <w:rsid w:val="00C76505"/>
    <w:pPr>
      <w:spacing w:after="120" w:line="480" w:lineRule="auto"/>
    </w:pPr>
  </w:style>
  <w:style w:type="paragraph" w:styleId="BodyText3">
    <w:name w:val="Body Text 3"/>
    <w:basedOn w:val="Normal"/>
    <w:semiHidden/>
    <w:rsid w:val="00C7650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76505"/>
    <w:pPr>
      <w:ind w:firstLine="210"/>
    </w:pPr>
  </w:style>
  <w:style w:type="paragraph" w:styleId="BodyTextFirstIndent2">
    <w:name w:val="Body Text First Indent 2"/>
    <w:basedOn w:val="BodyTextIndent"/>
    <w:semiHidden/>
    <w:rsid w:val="00C76505"/>
    <w:pPr>
      <w:ind w:firstLine="210"/>
    </w:pPr>
  </w:style>
  <w:style w:type="paragraph" w:styleId="EndnoteText">
    <w:name w:val="endnote text"/>
    <w:aliases w:val="2_G"/>
    <w:basedOn w:val="FootnoteText"/>
    <w:rsid w:val="00C76505"/>
  </w:style>
  <w:style w:type="paragraph" w:styleId="PlainText">
    <w:name w:val="Plain Text"/>
    <w:basedOn w:val="Normal"/>
    <w:semiHidden/>
    <w:rsid w:val="00C76505"/>
    <w:rPr>
      <w:rFonts w:ascii="Courier New" w:hAnsi="Courier New" w:cs="Courier New"/>
    </w:rPr>
  </w:style>
  <w:style w:type="paragraph" w:styleId="Title">
    <w:name w:val="Title"/>
    <w:basedOn w:val="Normal"/>
    <w:semiHidden/>
    <w:rsid w:val="00C7650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basedOn w:val="DefaultParagraphFont"/>
    <w:semiHidden/>
    <w:rsid w:val="00C76505"/>
    <w:rPr>
      <w:i/>
      <w:iCs/>
    </w:rPr>
  </w:style>
  <w:style w:type="paragraph" w:customStyle="1" w:styleId="Bullet1G">
    <w:name w:val="_Bullet 1_G"/>
    <w:basedOn w:val="Normal"/>
    <w:qFormat/>
    <w:rsid w:val="00C76505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qFormat/>
    <w:rsid w:val="00C76505"/>
    <w:pPr>
      <w:numPr>
        <w:numId w:val="2"/>
      </w:numPr>
      <w:spacing w:after="120"/>
      <w:ind w:right="1134"/>
      <w:jc w:val="both"/>
    </w:pPr>
  </w:style>
  <w:style w:type="paragraph" w:styleId="BalloonText">
    <w:name w:val="Balloon Text"/>
    <w:basedOn w:val="Normal"/>
    <w:link w:val="BalloonTextChar"/>
    <w:semiHidden/>
    <w:rsid w:val="001E5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59E8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semiHidden/>
    <w:rsid w:val="008F6CB6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2167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67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167E7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16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7E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%202010\Template\CCP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DC6E63E0E4C40BB58A92BBDBC479C" ma:contentTypeVersion="0" ma:contentTypeDescription="Create a new document." ma:contentTypeScope="" ma:versionID="b0a7ec33df2057392694119ebc3b6e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A5C06-61D2-471D-A5CE-ED173BE46A41}"/>
</file>

<file path=customXml/itemProps2.xml><?xml version="1.0" encoding="utf-8"?>
<ds:datastoreItem xmlns:ds="http://schemas.openxmlformats.org/officeDocument/2006/customXml" ds:itemID="{D172E87E-53B3-4A79-9AA4-86693ECBDC6C}"/>
</file>

<file path=customXml/itemProps3.xml><?xml version="1.0" encoding="utf-8"?>
<ds:datastoreItem xmlns:ds="http://schemas.openxmlformats.org/officeDocument/2006/customXml" ds:itemID="{A7B87EC4-2AEB-43A7-AF4D-3F6194CB1C6D}"/>
</file>

<file path=customXml/itemProps4.xml><?xml version="1.0" encoding="utf-8"?>
<ds:datastoreItem xmlns:ds="http://schemas.openxmlformats.org/officeDocument/2006/customXml" ds:itemID="{232B51A9-520F-4B5F-BAF0-06798D2F2DD8}"/>
</file>

<file path=docProps/app.xml><?xml version="1.0" encoding="utf-8"?>
<Properties xmlns="http://schemas.openxmlformats.org/officeDocument/2006/extended-properties" xmlns:vt="http://schemas.openxmlformats.org/officeDocument/2006/docPropsVTypes">
  <Template>CCPR</Template>
  <TotalTime>7</TotalTime>
  <Pages>9</Pages>
  <Words>4392</Words>
  <Characters>25037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CCPR/C/KHM/CO/2 - 15-08275</vt:lpstr>
      <vt:lpstr>CCPR/C/KHM/CO/2 - 15-08275</vt:lpstr>
    </vt:vector>
  </TitlesOfParts>
  <Company>DCM</Company>
  <LinksUpToDate>false</LinksUpToDate>
  <CharactersWithSpaces>29371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CCPR/C/KHM/CO/2 - 15-08275</dc:title>
  <dc:subject>FINALÇ</dc:subject>
  <dc:creator>Parada Mabel</dc:creator>
  <cp:lastModifiedBy>Matias Pellado</cp:lastModifiedBy>
  <cp:revision>7</cp:revision>
  <cp:lastPrinted>2015-07-21T07:08:00Z</cp:lastPrinted>
  <dcterms:created xsi:type="dcterms:W3CDTF">2015-07-22T06:27:00Z</dcterms:created>
  <dcterms:modified xsi:type="dcterms:W3CDTF">2015-07-23T16:13:00Z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0x010100D94DC6E63E0E4C40BB58A92BBDBC479C</vt:lpwstr>
  </property>
</Properties>
</file>