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9E22" w14:textId="3B371492" w:rsidR="00063C2D" w:rsidRPr="003653DA" w:rsidRDefault="003653DA" w:rsidP="003653DA">
      <w:pPr>
        <w:jc w:val="both"/>
        <w:rPr>
          <w:rFonts w:ascii="Verdana" w:hAnsi="Verdana"/>
          <w:b/>
          <w:bCs/>
        </w:rPr>
      </w:pPr>
      <w:r w:rsidRPr="003653DA">
        <w:rPr>
          <w:rFonts w:ascii="Verdana" w:hAnsi="Verdana"/>
          <w:b/>
          <w:bCs/>
        </w:rPr>
        <w:t xml:space="preserve">The </w:t>
      </w:r>
      <w:r w:rsidR="00C5458A" w:rsidRPr="003653DA">
        <w:rPr>
          <w:rFonts w:ascii="Verdana" w:hAnsi="Verdana"/>
          <w:b/>
          <w:bCs/>
        </w:rPr>
        <w:t xml:space="preserve">South African </w:t>
      </w:r>
      <w:r w:rsidR="004869F8" w:rsidRPr="003653DA">
        <w:rPr>
          <w:rFonts w:ascii="Verdana" w:hAnsi="Verdana"/>
          <w:b/>
          <w:bCs/>
        </w:rPr>
        <w:t xml:space="preserve">High Court </w:t>
      </w:r>
      <w:r w:rsidR="00E13FF2">
        <w:rPr>
          <w:rFonts w:ascii="Verdana" w:hAnsi="Verdana"/>
          <w:b/>
          <w:bCs/>
        </w:rPr>
        <w:t>confirms</w:t>
      </w:r>
      <w:r w:rsidR="00110B91">
        <w:rPr>
          <w:rFonts w:ascii="Verdana" w:hAnsi="Verdana"/>
          <w:b/>
          <w:bCs/>
        </w:rPr>
        <w:t xml:space="preserve"> </w:t>
      </w:r>
      <w:r w:rsidR="004869F8" w:rsidRPr="003653DA">
        <w:rPr>
          <w:rFonts w:ascii="Verdana" w:hAnsi="Verdana"/>
          <w:b/>
          <w:bCs/>
        </w:rPr>
        <w:t>that</w:t>
      </w:r>
      <w:r w:rsidR="00CA59AD">
        <w:rPr>
          <w:rFonts w:ascii="Verdana" w:hAnsi="Verdana"/>
          <w:b/>
          <w:bCs/>
        </w:rPr>
        <w:t xml:space="preserve"> </w:t>
      </w:r>
      <w:r w:rsidR="00CA59AD" w:rsidRPr="00CA59AD">
        <w:rPr>
          <w:rFonts w:ascii="Verdana" w:hAnsi="Verdana"/>
          <w:b/>
          <w:bCs/>
        </w:rPr>
        <w:t xml:space="preserve">Operation </w:t>
      </w:r>
      <w:proofErr w:type="spellStart"/>
      <w:r w:rsidR="00CA59AD" w:rsidRPr="00CA59AD">
        <w:rPr>
          <w:rFonts w:ascii="Verdana" w:hAnsi="Verdana"/>
          <w:b/>
          <w:bCs/>
        </w:rPr>
        <w:t>Dudula</w:t>
      </w:r>
      <w:proofErr w:type="spellEnd"/>
      <w:r w:rsidR="00B14448">
        <w:rPr>
          <w:rFonts w:ascii="Verdana" w:hAnsi="Verdana"/>
          <w:b/>
          <w:bCs/>
        </w:rPr>
        <w:t xml:space="preserve">, </w:t>
      </w:r>
      <w:r w:rsidR="00ED7A2F">
        <w:rPr>
          <w:rFonts w:ascii="Verdana" w:hAnsi="Verdana"/>
          <w:b/>
          <w:bCs/>
        </w:rPr>
        <w:t xml:space="preserve">perpetrated </w:t>
      </w:r>
      <w:r w:rsidR="004869F8" w:rsidRPr="003653DA">
        <w:rPr>
          <w:rFonts w:ascii="Verdana" w:hAnsi="Verdana"/>
          <w:b/>
          <w:bCs/>
        </w:rPr>
        <w:t xml:space="preserve">intimidation, harassment, </w:t>
      </w:r>
      <w:r w:rsidR="00CA59AD">
        <w:rPr>
          <w:rFonts w:ascii="Verdana" w:hAnsi="Verdana"/>
          <w:b/>
          <w:bCs/>
        </w:rPr>
        <w:t xml:space="preserve">incitement to violence </w:t>
      </w:r>
      <w:r w:rsidR="004869F8" w:rsidRPr="003653DA">
        <w:rPr>
          <w:rFonts w:ascii="Verdana" w:hAnsi="Verdana"/>
          <w:b/>
          <w:bCs/>
        </w:rPr>
        <w:t>and hate speech on grounds of nationality, social origin or ethnicity</w:t>
      </w:r>
      <w:r w:rsidR="00E13FF2">
        <w:rPr>
          <w:rFonts w:ascii="Verdana" w:hAnsi="Verdana"/>
          <w:b/>
          <w:bCs/>
        </w:rPr>
        <w:t xml:space="preserve"> and other unlawful acts</w:t>
      </w:r>
      <w:r w:rsidR="004869F8" w:rsidRPr="003653DA">
        <w:rPr>
          <w:rFonts w:ascii="Verdana" w:hAnsi="Verdana"/>
          <w:b/>
          <w:bCs/>
        </w:rPr>
        <w:t xml:space="preserve">  </w:t>
      </w:r>
    </w:p>
    <w:p w14:paraId="58BE4644" w14:textId="55320AE6" w:rsidR="00B14448" w:rsidRDefault="00634551" w:rsidP="00EB73A4">
      <w:pPr>
        <w:jc w:val="both"/>
        <w:rPr>
          <w:rFonts w:ascii="Verdana" w:hAnsi="Verdana"/>
          <w:sz w:val="20"/>
          <w:szCs w:val="20"/>
        </w:rPr>
      </w:pPr>
      <w:r w:rsidRPr="00A17297">
        <w:rPr>
          <w:rFonts w:ascii="Verdana" w:hAnsi="Verdana"/>
          <w:sz w:val="20"/>
          <w:szCs w:val="20"/>
        </w:rPr>
        <w:t xml:space="preserve">On 4 November, </w:t>
      </w:r>
      <w:r w:rsidR="00CA59AD" w:rsidRPr="00A17297">
        <w:rPr>
          <w:rFonts w:ascii="Verdana" w:hAnsi="Verdana"/>
          <w:sz w:val="20"/>
          <w:szCs w:val="20"/>
        </w:rPr>
        <w:t xml:space="preserve">Judge Leicester Adams </w:t>
      </w:r>
      <w:r w:rsidR="00CA59AD">
        <w:rPr>
          <w:rFonts w:ascii="Verdana" w:hAnsi="Verdana"/>
          <w:sz w:val="20"/>
          <w:szCs w:val="20"/>
        </w:rPr>
        <w:t xml:space="preserve">of </w:t>
      </w:r>
      <w:r w:rsidRPr="00A17297">
        <w:rPr>
          <w:rFonts w:ascii="Verdana" w:hAnsi="Verdana"/>
          <w:sz w:val="20"/>
          <w:szCs w:val="20"/>
        </w:rPr>
        <w:t>t</w:t>
      </w:r>
      <w:r w:rsidR="002F7D35" w:rsidRPr="00A17297">
        <w:rPr>
          <w:rFonts w:ascii="Verdana" w:hAnsi="Verdana"/>
          <w:sz w:val="20"/>
          <w:szCs w:val="20"/>
        </w:rPr>
        <w:t xml:space="preserve">he Johannesburg High Court </w:t>
      </w:r>
      <w:r w:rsidRPr="00A17297">
        <w:rPr>
          <w:rFonts w:ascii="Verdana" w:hAnsi="Verdana"/>
          <w:sz w:val="20"/>
          <w:szCs w:val="20"/>
        </w:rPr>
        <w:t xml:space="preserve">handed down judgment </w:t>
      </w:r>
      <w:r w:rsidR="00ED7A2F">
        <w:rPr>
          <w:rFonts w:ascii="Verdana" w:hAnsi="Verdana"/>
          <w:sz w:val="20"/>
          <w:szCs w:val="20"/>
        </w:rPr>
        <w:t xml:space="preserve">forbidding </w:t>
      </w:r>
      <w:r w:rsidR="002F7D35" w:rsidRPr="00A17297">
        <w:rPr>
          <w:rFonts w:ascii="Verdana" w:hAnsi="Verdana"/>
          <w:sz w:val="20"/>
          <w:szCs w:val="20"/>
        </w:rPr>
        <w:t xml:space="preserve">Operation </w:t>
      </w:r>
      <w:proofErr w:type="spellStart"/>
      <w:r w:rsidR="002F7D35" w:rsidRPr="00A17297">
        <w:rPr>
          <w:rFonts w:ascii="Verdana" w:hAnsi="Verdana"/>
          <w:sz w:val="20"/>
          <w:szCs w:val="20"/>
        </w:rPr>
        <w:t>Dudula</w:t>
      </w:r>
      <w:proofErr w:type="spellEnd"/>
      <w:r w:rsidR="002F7D35" w:rsidRPr="00A17297">
        <w:rPr>
          <w:rFonts w:ascii="Verdana" w:hAnsi="Verdana"/>
          <w:sz w:val="20"/>
          <w:szCs w:val="20"/>
        </w:rPr>
        <w:t xml:space="preserve"> and its leaders from intimidating, harassing, and/or assaulting any individuals that they identify as being </w:t>
      </w:r>
      <w:r w:rsidR="002F0934" w:rsidRPr="00A17297">
        <w:rPr>
          <w:rFonts w:ascii="Verdana" w:hAnsi="Verdana"/>
          <w:sz w:val="20"/>
          <w:szCs w:val="20"/>
        </w:rPr>
        <w:t>non-citizens</w:t>
      </w:r>
      <w:r w:rsidR="002F7D35" w:rsidRPr="00A17297">
        <w:rPr>
          <w:rFonts w:ascii="Verdana" w:hAnsi="Verdana"/>
          <w:sz w:val="20"/>
          <w:szCs w:val="20"/>
        </w:rPr>
        <w:t>, and from making public statements on social media platforms</w:t>
      </w:r>
      <w:r w:rsidR="002F0934" w:rsidRPr="00A17297">
        <w:rPr>
          <w:rFonts w:ascii="Verdana" w:hAnsi="Verdana"/>
          <w:sz w:val="20"/>
          <w:szCs w:val="20"/>
        </w:rPr>
        <w:t xml:space="preserve"> that constitute hate speech</w:t>
      </w:r>
      <w:r w:rsidRPr="00A17297">
        <w:rPr>
          <w:rFonts w:ascii="Verdana" w:hAnsi="Verdana"/>
          <w:sz w:val="20"/>
          <w:szCs w:val="20"/>
        </w:rPr>
        <w:t>.</w:t>
      </w:r>
      <w:r w:rsidR="000D0276" w:rsidRPr="00A17297">
        <w:rPr>
          <w:rFonts w:ascii="Verdana" w:hAnsi="Verdana"/>
          <w:sz w:val="20"/>
          <w:szCs w:val="20"/>
        </w:rPr>
        <w:t xml:space="preserve"> </w:t>
      </w:r>
    </w:p>
    <w:p w14:paraId="2FBB555C" w14:textId="77777777" w:rsidR="001125A2" w:rsidRPr="00A17297" w:rsidRDefault="001125A2" w:rsidP="001125A2">
      <w:pPr>
        <w:jc w:val="both"/>
        <w:rPr>
          <w:rFonts w:ascii="Verdana" w:hAnsi="Verdana"/>
          <w:sz w:val="20"/>
          <w:szCs w:val="20"/>
        </w:rPr>
      </w:pPr>
      <w:r w:rsidRPr="00A17297">
        <w:rPr>
          <w:rFonts w:ascii="Verdana" w:hAnsi="Verdana"/>
          <w:sz w:val="20"/>
          <w:szCs w:val="20"/>
        </w:rPr>
        <w:t xml:space="preserve">Kaajal Ramjathan-Keogh, </w:t>
      </w:r>
      <w:r>
        <w:rPr>
          <w:rFonts w:ascii="Verdana" w:hAnsi="Verdana"/>
          <w:sz w:val="20"/>
          <w:szCs w:val="20"/>
        </w:rPr>
        <w:t xml:space="preserve">ICJ </w:t>
      </w:r>
      <w:r w:rsidRPr="00A17297">
        <w:rPr>
          <w:rFonts w:ascii="Verdana" w:hAnsi="Verdana"/>
          <w:sz w:val="20"/>
          <w:szCs w:val="20"/>
        </w:rPr>
        <w:t>Africa Director said, “This judgment marks a major victory in the fight against xenophobia reaffirming that intimidation, harassment, and hate speech on the grounds of nationality, social origin, or ethnicity will not be tolerated in South Africa at public gatherings, on social media, or anywhere else</w:t>
      </w:r>
      <w:r>
        <w:rPr>
          <w:rFonts w:ascii="Verdana" w:hAnsi="Verdana"/>
          <w:sz w:val="20"/>
          <w:szCs w:val="20"/>
        </w:rPr>
        <w:t xml:space="preserve">. We hope that the court order will be respected by Operation </w:t>
      </w:r>
      <w:proofErr w:type="spellStart"/>
      <w:r>
        <w:rPr>
          <w:rFonts w:ascii="Verdana" w:hAnsi="Verdana"/>
          <w:sz w:val="20"/>
          <w:szCs w:val="20"/>
        </w:rPr>
        <w:t>Dudula</w:t>
      </w:r>
      <w:proofErr w:type="spellEnd"/>
      <w:r>
        <w:rPr>
          <w:rFonts w:ascii="Verdana" w:hAnsi="Verdana"/>
          <w:sz w:val="20"/>
          <w:szCs w:val="20"/>
        </w:rPr>
        <w:t xml:space="preserve"> and others”. </w:t>
      </w:r>
    </w:p>
    <w:p w14:paraId="40C68576" w14:textId="77777777" w:rsidR="001125A2" w:rsidRDefault="00ED7A2F" w:rsidP="00EB73A4">
      <w:pPr>
        <w:jc w:val="both"/>
        <w:rPr>
          <w:rFonts w:ascii="Verdana" w:hAnsi="Verdana"/>
          <w:sz w:val="20"/>
          <w:szCs w:val="20"/>
          <w:lang w:val="en-US"/>
        </w:rPr>
      </w:pPr>
      <w:r>
        <w:rPr>
          <w:rFonts w:ascii="Verdana" w:hAnsi="Verdana"/>
          <w:sz w:val="20"/>
          <w:szCs w:val="20"/>
        </w:rPr>
        <w:t xml:space="preserve">The decision is the culmination of a legal battle to put an end to the unlawful conduct of Operation Dudula and its members. Operation Dudula is </w:t>
      </w:r>
      <w:r w:rsidRPr="00ED7A2F">
        <w:rPr>
          <w:rFonts w:ascii="Verdana" w:hAnsi="Verdana"/>
          <w:sz w:val="20"/>
          <w:szCs w:val="20"/>
          <w:lang w:val="en-US"/>
        </w:rPr>
        <w:t xml:space="preserve">voluntary association registered as a non-profit company, with the stated objective of </w:t>
      </w:r>
      <w:r>
        <w:rPr>
          <w:rFonts w:ascii="Verdana" w:hAnsi="Verdana"/>
          <w:sz w:val="20"/>
          <w:szCs w:val="20"/>
          <w:lang w:val="en-US"/>
        </w:rPr>
        <w:t>“</w:t>
      </w:r>
      <w:r w:rsidRPr="00ED7A2F">
        <w:rPr>
          <w:rFonts w:ascii="Verdana" w:hAnsi="Verdana"/>
          <w:sz w:val="20"/>
          <w:szCs w:val="20"/>
          <w:lang w:val="en-US"/>
        </w:rPr>
        <w:t>expelling foreign nationals from South Africa</w:t>
      </w:r>
      <w:r>
        <w:rPr>
          <w:rFonts w:ascii="Verdana" w:hAnsi="Verdana"/>
          <w:sz w:val="20"/>
          <w:szCs w:val="20"/>
          <w:lang w:val="en-US"/>
        </w:rPr>
        <w:t>”</w:t>
      </w:r>
      <w:r w:rsidRPr="00ED7A2F">
        <w:rPr>
          <w:rFonts w:ascii="Verdana" w:hAnsi="Verdana"/>
          <w:sz w:val="20"/>
          <w:szCs w:val="20"/>
          <w:lang w:val="en-US"/>
        </w:rPr>
        <w:t>.</w:t>
      </w:r>
      <w:r>
        <w:rPr>
          <w:rFonts w:ascii="Verdana" w:hAnsi="Verdana"/>
          <w:sz w:val="20"/>
          <w:szCs w:val="20"/>
          <w:lang w:val="en-US"/>
        </w:rPr>
        <w:t xml:space="preserve"> </w:t>
      </w:r>
    </w:p>
    <w:p w14:paraId="4E897BB2" w14:textId="275537EB" w:rsidR="001125A2" w:rsidRDefault="001125A2" w:rsidP="001125A2">
      <w:pPr>
        <w:jc w:val="both"/>
        <w:rPr>
          <w:rFonts w:ascii="Verdana" w:hAnsi="Verdana"/>
          <w:sz w:val="20"/>
          <w:szCs w:val="20"/>
        </w:rPr>
      </w:pPr>
      <w:r w:rsidRPr="00A17297">
        <w:rPr>
          <w:rFonts w:ascii="Verdana" w:hAnsi="Verdana"/>
          <w:sz w:val="20"/>
          <w:szCs w:val="20"/>
        </w:rPr>
        <w:t xml:space="preserve">As regards actual harm, </w:t>
      </w:r>
      <w:r w:rsidR="0027131F">
        <w:rPr>
          <w:rFonts w:ascii="Verdana" w:hAnsi="Verdana"/>
          <w:sz w:val="20"/>
          <w:szCs w:val="20"/>
        </w:rPr>
        <w:t xml:space="preserve">the judgment confirms that </w:t>
      </w:r>
      <w:r w:rsidRPr="00A17297">
        <w:rPr>
          <w:rFonts w:ascii="Verdana" w:hAnsi="Verdana"/>
          <w:sz w:val="20"/>
          <w:szCs w:val="20"/>
        </w:rPr>
        <w:t>the undisputed evidence reveal</w:t>
      </w:r>
      <w:r w:rsidR="0027131F">
        <w:rPr>
          <w:rFonts w:ascii="Verdana" w:hAnsi="Verdana"/>
          <w:sz w:val="20"/>
          <w:szCs w:val="20"/>
        </w:rPr>
        <w:t>ed</w:t>
      </w:r>
      <w:r w:rsidRPr="00A17297">
        <w:rPr>
          <w:rFonts w:ascii="Verdana" w:hAnsi="Verdana"/>
          <w:sz w:val="20"/>
          <w:szCs w:val="20"/>
        </w:rPr>
        <w:t xml:space="preserve"> a clear pattern of unlawful acts perpetrated by Operation </w:t>
      </w:r>
      <w:proofErr w:type="spellStart"/>
      <w:r w:rsidRPr="00A17297">
        <w:rPr>
          <w:rFonts w:ascii="Verdana" w:hAnsi="Verdana"/>
          <w:sz w:val="20"/>
          <w:szCs w:val="20"/>
        </w:rPr>
        <w:t>Dudula</w:t>
      </w:r>
      <w:proofErr w:type="spellEnd"/>
      <w:r w:rsidRPr="00A17297">
        <w:rPr>
          <w:rFonts w:ascii="Verdana" w:hAnsi="Verdana"/>
          <w:sz w:val="20"/>
          <w:szCs w:val="20"/>
        </w:rPr>
        <w:t xml:space="preserve">, its public representatives and its members. </w:t>
      </w:r>
      <w:r w:rsidR="0027131F">
        <w:rPr>
          <w:rFonts w:ascii="Verdana" w:hAnsi="Verdana"/>
          <w:sz w:val="20"/>
          <w:szCs w:val="20"/>
        </w:rPr>
        <w:t xml:space="preserve">Operation </w:t>
      </w:r>
      <w:proofErr w:type="spellStart"/>
      <w:r w:rsidR="0027131F">
        <w:rPr>
          <w:rFonts w:ascii="Verdana" w:hAnsi="Verdana"/>
          <w:sz w:val="20"/>
          <w:szCs w:val="20"/>
        </w:rPr>
        <w:t>Dudula</w:t>
      </w:r>
      <w:proofErr w:type="spellEnd"/>
      <w:r w:rsidR="0027131F">
        <w:rPr>
          <w:rFonts w:ascii="Verdana" w:hAnsi="Verdana"/>
          <w:sz w:val="20"/>
          <w:szCs w:val="20"/>
        </w:rPr>
        <w:t xml:space="preserve"> </w:t>
      </w:r>
      <w:r w:rsidRPr="00A17297">
        <w:rPr>
          <w:rFonts w:ascii="Verdana" w:hAnsi="Verdana"/>
          <w:sz w:val="20"/>
          <w:szCs w:val="20"/>
        </w:rPr>
        <w:t xml:space="preserve">has engaged in the incitement of violence, the propagation of hate speech and other unlawful conduct both at gatherings and on its social media platforms. </w:t>
      </w:r>
      <w:r w:rsidR="0027131F">
        <w:rPr>
          <w:rFonts w:ascii="Verdana" w:hAnsi="Verdana"/>
          <w:sz w:val="20"/>
          <w:szCs w:val="20"/>
        </w:rPr>
        <w:t xml:space="preserve">Such conduct </w:t>
      </w:r>
      <w:r w:rsidRPr="00A17297">
        <w:rPr>
          <w:rFonts w:ascii="Verdana" w:hAnsi="Verdana"/>
          <w:sz w:val="20"/>
          <w:szCs w:val="20"/>
        </w:rPr>
        <w:t>is in clear contravention of section 8(6) of the Regulation of Gatherings Act 205 of 1993 (Gatherings Act)</w:t>
      </w:r>
      <w:r w:rsidR="0027131F">
        <w:rPr>
          <w:rFonts w:ascii="Verdana" w:hAnsi="Verdana"/>
          <w:sz w:val="20"/>
          <w:szCs w:val="20"/>
        </w:rPr>
        <w:t xml:space="preserve"> and of s</w:t>
      </w:r>
      <w:r w:rsidRPr="00A17297">
        <w:rPr>
          <w:rFonts w:ascii="Verdana" w:hAnsi="Verdana"/>
          <w:sz w:val="20"/>
          <w:szCs w:val="20"/>
        </w:rPr>
        <w:t>ection 10 of the Promotion of Equality and Prevention of Unfair Discrimination Act 4 of 2000 (Equality Act)</w:t>
      </w:r>
      <w:r w:rsidR="0027131F">
        <w:rPr>
          <w:rFonts w:ascii="Verdana" w:hAnsi="Verdana"/>
          <w:sz w:val="20"/>
          <w:szCs w:val="20"/>
        </w:rPr>
        <w:t xml:space="preserve">, which </w:t>
      </w:r>
      <w:r w:rsidRPr="00A17297">
        <w:rPr>
          <w:rFonts w:ascii="Verdana" w:hAnsi="Verdana"/>
          <w:sz w:val="20"/>
          <w:szCs w:val="20"/>
        </w:rPr>
        <w:t xml:space="preserve">prohibits speech that incites harm on grounds that include nationality, social origin, race and ethnicity. The judgment also </w:t>
      </w:r>
      <w:r w:rsidR="0027131F">
        <w:rPr>
          <w:rFonts w:ascii="Verdana" w:hAnsi="Verdana"/>
          <w:sz w:val="20"/>
          <w:szCs w:val="20"/>
        </w:rPr>
        <w:t xml:space="preserve">underscores </w:t>
      </w:r>
      <w:r w:rsidRPr="00A17297">
        <w:rPr>
          <w:rFonts w:ascii="Verdana" w:hAnsi="Verdana"/>
          <w:sz w:val="20"/>
          <w:szCs w:val="20"/>
        </w:rPr>
        <w:t>that social media cannot be a shield for hate speech or vigilantism, affirming that all persons in South Africa, regardless of nationality, are entitled to dignity, equality, and protection under the Constitution.</w:t>
      </w:r>
    </w:p>
    <w:p w14:paraId="0B5B3A74" w14:textId="0B4EED7E" w:rsidR="001125A2" w:rsidRDefault="001C149A" w:rsidP="001125A2">
      <w:pPr>
        <w:jc w:val="both"/>
        <w:rPr>
          <w:rFonts w:ascii="Verdana" w:hAnsi="Verdana"/>
          <w:sz w:val="20"/>
          <w:szCs w:val="20"/>
        </w:rPr>
      </w:pPr>
      <w:r>
        <w:rPr>
          <w:rFonts w:ascii="Verdana" w:hAnsi="Verdana"/>
          <w:sz w:val="20"/>
          <w:szCs w:val="20"/>
        </w:rPr>
        <w:t>Among other things, Judge Adams’s judgment orders that</w:t>
      </w:r>
      <w:r w:rsidR="001125A2">
        <w:rPr>
          <w:rFonts w:ascii="Verdana" w:hAnsi="Verdana"/>
          <w:sz w:val="20"/>
          <w:szCs w:val="20"/>
        </w:rPr>
        <w:t>:</w:t>
      </w:r>
    </w:p>
    <w:p w14:paraId="45DE1F00" w14:textId="6DF9BA4F" w:rsidR="001125A2" w:rsidRPr="00AE6CE8" w:rsidRDefault="001125A2" w:rsidP="001125A2">
      <w:pPr>
        <w:jc w:val="both"/>
        <w:rPr>
          <w:rFonts w:ascii="Verdana" w:hAnsi="Verdana"/>
          <w:i/>
          <w:iCs/>
          <w:sz w:val="20"/>
          <w:szCs w:val="20"/>
        </w:rPr>
      </w:pPr>
      <w:r w:rsidRPr="00AE6CE8">
        <w:rPr>
          <w:rFonts w:ascii="Verdana" w:hAnsi="Verdana"/>
          <w:i/>
          <w:iCs/>
          <w:sz w:val="20"/>
          <w:szCs w:val="20"/>
        </w:rPr>
        <w:t xml:space="preserve">(1) </w:t>
      </w:r>
      <w:r w:rsidR="001C149A">
        <w:rPr>
          <w:rFonts w:ascii="Verdana" w:hAnsi="Verdana"/>
          <w:i/>
          <w:iCs/>
          <w:sz w:val="20"/>
          <w:szCs w:val="20"/>
        </w:rPr>
        <w:t>…</w:t>
      </w:r>
      <w:r w:rsidRPr="00AE6CE8">
        <w:rPr>
          <w:rFonts w:ascii="Verdana" w:hAnsi="Verdana"/>
          <w:i/>
          <w:iCs/>
          <w:sz w:val="20"/>
          <w:szCs w:val="20"/>
        </w:rPr>
        <w:t>only an immigration officer or a police officer has the power in terms of section 41 of the Immigration Act 13 of 2002 to demand that another private person produce her / his passport or other identity documents to demonstrate her / his right to be in the Republic of South Africa and that no private person has the power to do so unless expressly so authorised by law.</w:t>
      </w:r>
    </w:p>
    <w:p w14:paraId="22BB7ABB" w14:textId="755818F1" w:rsidR="001125A2" w:rsidRDefault="001125A2" w:rsidP="001125A2">
      <w:pPr>
        <w:jc w:val="both"/>
        <w:rPr>
          <w:rFonts w:ascii="Verdana" w:hAnsi="Verdana"/>
          <w:sz w:val="20"/>
          <w:szCs w:val="20"/>
          <w:lang w:val="en-US"/>
        </w:rPr>
      </w:pPr>
      <w:r w:rsidRPr="00AE6CE8">
        <w:rPr>
          <w:rFonts w:ascii="Verdana" w:hAnsi="Verdana"/>
          <w:i/>
          <w:iCs/>
          <w:sz w:val="20"/>
          <w:szCs w:val="20"/>
        </w:rPr>
        <w:t>(2) The first respondent</w:t>
      </w:r>
      <w:r>
        <w:rPr>
          <w:rFonts w:ascii="Verdana" w:hAnsi="Verdana"/>
          <w:i/>
          <w:iCs/>
          <w:sz w:val="20"/>
          <w:szCs w:val="20"/>
        </w:rPr>
        <w:t xml:space="preserve"> [Operation </w:t>
      </w:r>
      <w:proofErr w:type="spellStart"/>
      <w:r>
        <w:rPr>
          <w:rFonts w:ascii="Verdana" w:hAnsi="Verdana"/>
          <w:i/>
          <w:iCs/>
          <w:sz w:val="20"/>
          <w:szCs w:val="20"/>
        </w:rPr>
        <w:t>Dudula</w:t>
      </w:r>
      <w:proofErr w:type="spellEnd"/>
      <w:r>
        <w:rPr>
          <w:rFonts w:ascii="Verdana" w:hAnsi="Verdana"/>
          <w:i/>
          <w:iCs/>
          <w:sz w:val="20"/>
          <w:szCs w:val="20"/>
        </w:rPr>
        <w:t>]</w:t>
      </w:r>
      <w:r w:rsidRPr="00AE6CE8">
        <w:rPr>
          <w:rFonts w:ascii="Verdana" w:hAnsi="Verdana"/>
          <w:i/>
          <w:iCs/>
          <w:sz w:val="20"/>
          <w:szCs w:val="20"/>
        </w:rPr>
        <w:t>, the eleventh</w:t>
      </w:r>
      <w:r>
        <w:rPr>
          <w:rFonts w:ascii="Verdana" w:hAnsi="Verdana"/>
          <w:i/>
          <w:iCs/>
          <w:sz w:val="20"/>
          <w:szCs w:val="20"/>
        </w:rPr>
        <w:t xml:space="preserve"> [Zandile Dabula, Operation </w:t>
      </w:r>
      <w:proofErr w:type="spellStart"/>
      <w:r>
        <w:rPr>
          <w:rFonts w:ascii="Verdana" w:hAnsi="Verdana"/>
          <w:i/>
          <w:iCs/>
          <w:sz w:val="20"/>
          <w:szCs w:val="20"/>
        </w:rPr>
        <w:t>Dudula</w:t>
      </w:r>
      <w:proofErr w:type="spellEnd"/>
      <w:r>
        <w:rPr>
          <w:rFonts w:ascii="Verdana" w:hAnsi="Verdana"/>
          <w:i/>
          <w:iCs/>
          <w:sz w:val="20"/>
          <w:szCs w:val="20"/>
        </w:rPr>
        <w:t xml:space="preserve"> leader]</w:t>
      </w:r>
      <w:r w:rsidRPr="00AE6CE8">
        <w:rPr>
          <w:rFonts w:ascii="Verdana" w:hAnsi="Verdana"/>
          <w:i/>
          <w:iCs/>
          <w:sz w:val="20"/>
          <w:szCs w:val="20"/>
        </w:rPr>
        <w:t xml:space="preserve"> and twelfth </w:t>
      </w:r>
      <w:r>
        <w:rPr>
          <w:rFonts w:ascii="Verdana" w:hAnsi="Verdana"/>
          <w:i/>
          <w:iCs/>
          <w:sz w:val="20"/>
          <w:szCs w:val="20"/>
        </w:rPr>
        <w:t xml:space="preserve">[Dan Radebe, Operation </w:t>
      </w:r>
      <w:proofErr w:type="spellStart"/>
      <w:r>
        <w:rPr>
          <w:rFonts w:ascii="Verdana" w:hAnsi="Verdana"/>
          <w:i/>
          <w:iCs/>
          <w:sz w:val="20"/>
          <w:szCs w:val="20"/>
        </w:rPr>
        <w:t>Dudula</w:t>
      </w:r>
      <w:proofErr w:type="spellEnd"/>
      <w:r>
        <w:rPr>
          <w:rFonts w:ascii="Verdana" w:hAnsi="Verdana"/>
          <w:i/>
          <w:iCs/>
          <w:sz w:val="20"/>
          <w:szCs w:val="20"/>
        </w:rPr>
        <w:t xml:space="preserve"> Deputy Chairperson] </w:t>
      </w:r>
      <w:r w:rsidRPr="00AE6CE8">
        <w:rPr>
          <w:rFonts w:ascii="Verdana" w:hAnsi="Verdana"/>
          <w:i/>
          <w:iCs/>
          <w:sz w:val="20"/>
          <w:szCs w:val="20"/>
        </w:rPr>
        <w:t>respondents be and are hereby interdicted and restrained from demanding that any private person produce her / his passport or other identity documents to demonstrate her / his right to be in the Republic.</w:t>
      </w:r>
    </w:p>
    <w:p w14:paraId="0D8B2DF9" w14:textId="6589AF63" w:rsidR="00A7725B" w:rsidRDefault="00AE7E71" w:rsidP="00EB73A4">
      <w:pPr>
        <w:jc w:val="both"/>
        <w:rPr>
          <w:rFonts w:ascii="Verdana" w:hAnsi="Verdana" w:cs="Segoe UI"/>
          <w:sz w:val="20"/>
          <w:szCs w:val="20"/>
          <w:shd w:val="clear" w:color="auto" w:fill="FFFFFF"/>
        </w:rPr>
      </w:pPr>
      <w:r w:rsidRPr="009B682B">
        <w:rPr>
          <w:rFonts w:ascii="Verdana" w:hAnsi="Verdana" w:cs="Segoe UI"/>
          <w:sz w:val="20"/>
          <w:szCs w:val="20"/>
          <w:shd w:val="clear" w:color="auto" w:fill="FFFFFF"/>
        </w:rPr>
        <w:t>Kopanang Africa Against Xenophobia</w:t>
      </w:r>
      <w:r w:rsidR="00307BA4" w:rsidRPr="009B682B">
        <w:rPr>
          <w:rFonts w:ascii="Verdana" w:hAnsi="Verdana" w:cs="Segoe UI"/>
          <w:sz w:val="20"/>
          <w:szCs w:val="20"/>
          <w:shd w:val="clear" w:color="auto" w:fill="FFFFFF"/>
        </w:rPr>
        <w:t xml:space="preserve"> (KAAX)</w:t>
      </w:r>
      <w:r w:rsidRPr="009B682B">
        <w:rPr>
          <w:rFonts w:ascii="Verdana" w:hAnsi="Verdana" w:cs="Segoe UI"/>
          <w:sz w:val="20"/>
          <w:szCs w:val="20"/>
          <w:shd w:val="clear" w:color="auto" w:fill="FFFFFF"/>
        </w:rPr>
        <w:t>, represented by the</w:t>
      </w:r>
      <w:r w:rsidRPr="009B682B">
        <w:rPr>
          <w:rStyle w:val="white-space-pre"/>
          <w:rFonts w:ascii="Verdana" w:hAnsi="Verdana" w:cs="Segoe UI"/>
          <w:sz w:val="20"/>
          <w:szCs w:val="20"/>
          <w:bdr w:val="none" w:sz="0" w:space="0" w:color="auto" w:frame="1"/>
        </w:rPr>
        <w:t xml:space="preserve"> </w:t>
      </w:r>
      <w:hyperlink r:id="rId4" w:tgtFrame="_self" w:history="1">
        <w:r w:rsidRPr="009B682B">
          <w:rPr>
            <w:rStyle w:val="Hyperlink"/>
            <w:rFonts w:ascii="Verdana" w:hAnsi="Verdana" w:cs="Segoe UI"/>
            <w:color w:val="0A66C2"/>
            <w:sz w:val="20"/>
            <w:szCs w:val="20"/>
            <w:bdr w:val="none" w:sz="0" w:space="0" w:color="auto" w:frame="1"/>
          </w:rPr>
          <w:t>Socio-Economic Rights Institute of South Africa</w:t>
        </w:r>
      </w:hyperlink>
      <w:r w:rsidR="00A7725B">
        <w:rPr>
          <w:rStyle w:val="Hyperlink"/>
          <w:rFonts w:ascii="Verdana" w:hAnsi="Verdana" w:cs="Segoe UI"/>
          <w:color w:val="0A66C2"/>
          <w:sz w:val="20"/>
          <w:szCs w:val="20"/>
          <w:bdr w:val="none" w:sz="0" w:space="0" w:color="auto" w:frame="1"/>
        </w:rPr>
        <w:t xml:space="preserve">, brought the case to court. </w:t>
      </w:r>
      <w:hyperlink r:id="rId5" w:tgtFrame="_self" w:history="1">
        <w:r w:rsidRPr="009B682B">
          <w:rPr>
            <w:rStyle w:val="Hyperlink"/>
            <w:rFonts w:ascii="Verdana" w:hAnsi="Verdana" w:cs="Segoe UI"/>
            <w:color w:val="0A66C2"/>
            <w:sz w:val="20"/>
            <w:szCs w:val="20"/>
            <w:bdr w:val="none" w:sz="0" w:space="0" w:color="auto" w:frame="1"/>
          </w:rPr>
          <w:t>SECTION27</w:t>
        </w:r>
      </w:hyperlink>
      <w:r w:rsidR="00A7725B">
        <w:rPr>
          <w:rFonts w:ascii="Verdana" w:hAnsi="Verdana" w:cs="Segoe UI"/>
          <w:sz w:val="20"/>
          <w:szCs w:val="20"/>
          <w:shd w:val="clear" w:color="auto" w:fill="FFFFFF"/>
        </w:rPr>
        <w:t xml:space="preserve"> and</w:t>
      </w:r>
      <w:r w:rsidRPr="009B682B">
        <w:rPr>
          <w:rFonts w:ascii="Verdana" w:hAnsi="Verdana" w:cs="Segoe UI"/>
          <w:sz w:val="20"/>
          <w:szCs w:val="20"/>
          <w:shd w:val="clear" w:color="auto" w:fill="FFFFFF"/>
        </w:rPr>
        <w:t xml:space="preserve"> the</w:t>
      </w:r>
      <w:r w:rsidRPr="009B682B">
        <w:rPr>
          <w:rStyle w:val="white-space-pre"/>
          <w:rFonts w:ascii="Verdana" w:hAnsi="Verdana" w:cs="Segoe UI"/>
          <w:sz w:val="20"/>
          <w:szCs w:val="20"/>
          <w:bdr w:val="none" w:sz="0" w:space="0" w:color="auto" w:frame="1"/>
        </w:rPr>
        <w:t xml:space="preserve"> </w:t>
      </w:r>
      <w:hyperlink r:id="rId6" w:tgtFrame="_self" w:history="1">
        <w:r w:rsidRPr="009B682B">
          <w:rPr>
            <w:rStyle w:val="Hyperlink"/>
            <w:rFonts w:ascii="Verdana" w:hAnsi="Verdana" w:cs="Segoe UI"/>
            <w:color w:val="004182"/>
            <w:sz w:val="20"/>
            <w:szCs w:val="20"/>
            <w:bdr w:val="none" w:sz="0" w:space="0" w:color="auto" w:frame="1"/>
          </w:rPr>
          <w:t>International Commission of Jurists</w:t>
        </w:r>
      </w:hyperlink>
      <w:r w:rsidR="00A7725B">
        <w:rPr>
          <w:rStyle w:val="Hyperlink"/>
          <w:rFonts w:ascii="Verdana" w:hAnsi="Verdana" w:cs="Segoe UI"/>
          <w:color w:val="004182"/>
          <w:sz w:val="20"/>
          <w:szCs w:val="20"/>
          <w:bdr w:val="none" w:sz="0" w:space="0" w:color="auto" w:frame="1"/>
        </w:rPr>
        <w:t xml:space="preserve"> (ICJ)</w:t>
      </w:r>
      <w:r w:rsidRPr="009B682B">
        <w:rPr>
          <w:rFonts w:ascii="Verdana" w:hAnsi="Verdana" w:cs="Segoe UI"/>
          <w:sz w:val="20"/>
          <w:szCs w:val="20"/>
          <w:shd w:val="clear" w:color="auto" w:fill="FFFFFF"/>
        </w:rPr>
        <w:t>, represented by</w:t>
      </w:r>
      <w:r w:rsidRPr="009B682B">
        <w:rPr>
          <w:rStyle w:val="white-space-pre"/>
          <w:rFonts w:ascii="Verdana" w:hAnsi="Verdana" w:cs="Segoe UI"/>
          <w:sz w:val="20"/>
          <w:szCs w:val="20"/>
          <w:bdr w:val="none" w:sz="0" w:space="0" w:color="auto" w:frame="1"/>
        </w:rPr>
        <w:t xml:space="preserve"> </w:t>
      </w:r>
      <w:hyperlink r:id="rId7" w:tgtFrame="_self" w:history="1">
        <w:r w:rsidRPr="009B682B">
          <w:rPr>
            <w:rStyle w:val="Hyperlink"/>
            <w:rFonts w:ascii="Verdana" w:hAnsi="Verdana" w:cs="Segoe UI"/>
            <w:color w:val="0A66C2"/>
            <w:sz w:val="20"/>
            <w:szCs w:val="20"/>
            <w:bdr w:val="none" w:sz="0" w:space="0" w:color="auto" w:frame="1"/>
          </w:rPr>
          <w:t>Webber Wentzel</w:t>
        </w:r>
      </w:hyperlink>
      <w:r w:rsidRPr="009B682B">
        <w:rPr>
          <w:rFonts w:ascii="Verdana" w:hAnsi="Verdana" w:cs="Segoe UI"/>
          <w:sz w:val="20"/>
          <w:szCs w:val="20"/>
          <w:shd w:val="clear" w:color="auto" w:fill="FFFFFF"/>
        </w:rPr>
        <w:t>,</w:t>
      </w:r>
      <w:r w:rsidR="00A7725B">
        <w:rPr>
          <w:rFonts w:ascii="Verdana" w:hAnsi="Verdana" w:cs="Segoe UI"/>
          <w:sz w:val="20"/>
          <w:szCs w:val="20"/>
          <w:shd w:val="clear" w:color="auto" w:fill="FFFFFF"/>
        </w:rPr>
        <w:t xml:space="preserve"> along with </w:t>
      </w:r>
      <w:r w:rsidRPr="009B682B">
        <w:rPr>
          <w:rFonts w:ascii="Verdana" w:hAnsi="Verdana" w:cs="Segoe UI"/>
          <w:sz w:val="20"/>
          <w:szCs w:val="20"/>
          <w:shd w:val="clear" w:color="auto" w:fill="FFFFFF"/>
        </w:rPr>
        <w:t>the United Nations Special Rapporteur on Human Rights Defenders, represented by</w:t>
      </w:r>
      <w:r w:rsidRPr="009B682B">
        <w:rPr>
          <w:rStyle w:val="white-space-pre"/>
          <w:rFonts w:ascii="Verdana" w:hAnsi="Verdana" w:cs="Segoe UI"/>
          <w:sz w:val="20"/>
          <w:szCs w:val="20"/>
          <w:bdr w:val="none" w:sz="0" w:space="0" w:color="auto" w:frame="1"/>
        </w:rPr>
        <w:t xml:space="preserve"> </w:t>
      </w:r>
      <w:hyperlink r:id="rId8" w:tgtFrame="_self" w:history="1">
        <w:r w:rsidRPr="009B682B">
          <w:rPr>
            <w:rStyle w:val="Hyperlink"/>
            <w:rFonts w:ascii="Verdana" w:hAnsi="Verdana" w:cs="Segoe UI"/>
            <w:color w:val="0A66C2"/>
            <w:sz w:val="20"/>
            <w:szCs w:val="20"/>
            <w:bdr w:val="none" w:sz="0" w:space="0" w:color="auto" w:frame="1"/>
          </w:rPr>
          <w:t xml:space="preserve">Lawyers for </w:t>
        </w:r>
        <w:r w:rsidRPr="009B682B">
          <w:rPr>
            <w:rStyle w:val="Hyperlink"/>
            <w:rFonts w:ascii="Verdana" w:hAnsi="Verdana" w:cs="Segoe UI"/>
            <w:color w:val="0A66C2"/>
            <w:sz w:val="20"/>
            <w:szCs w:val="20"/>
            <w:bdr w:val="none" w:sz="0" w:space="0" w:color="auto" w:frame="1"/>
          </w:rPr>
          <w:lastRenderedPageBreak/>
          <w:t>Human Rights</w:t>
        </w:r>
      </w:hyperlink>
      <w:r w:rsidR="00ED7A2F">
        <w:rPr>
          <w:rStyle w:val="white-space-pre"/>
          <w:rFonts w:ascii="Verdana" w:hAnsi="Verdana" w:cs="Segoe UI"/>
          <w:sz w:val="20"/>
          <w:szCs w:val="20"/>
          <w:bdr w:val="none" w:sz="0" w:space="0" w:color="auto" w:frame="1"/>
        </w:rPr>
        <w:t xml:space="preserve">, </w:t>
      </w:r>
      <w:r w:rsidR="007B20A7" w:rsidRPr="009B682B">
        <w:rPr>
          <w:rStyle w:val="white-space-pre"/>
          <w:rFonts w:ascii="Verdana" w:hAnsi="Verdana" w:cs="Segoe UI"/>
          <w:sz w:val="20"/>
          <w:szCs w:val="20"/>
          <w:bdr w:val="none" w:sz="0" w:space="0" w:color="auto" w:frame="1"/>
        </w:rPr>
        <w:t xml:space="preserve">and </w:t>
      </w:r>
      <w:hyperlink r:id="rId9" w:history="1">
        <w:r w:rsidR="007B20A7" w:rsidRPr="009B682B">
          <w:rPr>
            <w:rStyle w:val="Hyperlink"/>
            <w:rFonts w:ascii="Verdana" w:hAnsi="Verdana" w:cs="Segoe UI"/>
            <w:sz w:val="20"/>
            <w:szCs w:val="20"/>
            <w:bdr w:val="none" w:sz="0" w:space="0" w:color="auto" w:frame="1"/>
          </w:rPr>
          <w:t>Media Monitoring Africa</w:t>
        </w:r>
      </w:hyperlink>
      <w:r w:rsidR="00ED7A2F">
        <w:rPr>
          <w:rStyle w:val="Hyperlink"/>
          <w:rFonts w:ascii="Verdana" w:hAnsi="Verdana" w:cs="Segoe UI"/>
          <w:sz w:val="20"/>
          <w:szCs w:val="20"/>
          <w:bdr w:val="none" w:sz="0" w:space="0" w:color="auto" w:frame="1"/>
        </w:rPr>
        <w:t>,</w:t>
      </w:r>
      <w:r w:rsidR="007B20A7" w:rsidRPr="009B682B">
        <w:rPr>
          <w:rStyle w:val="white-space-pre"/>
          <w:rFonts w:ascii="Verdana" w:hAnsi="Verdana" w:cs="Segoe UI"/>
          <w:sz w:val="20"/>
          <w:szCs w:val="20"/>
          <w:bdr w:val="none" w:sz="0" w:space="0" w:color="auto" w:frame="1"/>
        </w:rPr>
        <w:t xml:space="preserve"> represented by </w:t>
      </w:r>
      <w:hyperlink r:id="rId10" w:history="1">
        <w:r w:rsidR="007B20A7" w:rsidRPr="009B682B">
          <w:rPr>
            <w:rStyle w:val="Hyperlink"/>
            <w:rFonts w:ascii="Verdana" w:hAnsi="Verdana" w:cs="Segoe UI"/>
            <w:sz w:val="20"/>
            <w:szCs w:val="20"/>
            <w:bdr w:val="none" w:sz="0" w:space="0" w:color="auto" w:frame="1"/>
          </w:rPr>
          <w:t>Power Law Africa</w:t>
        </w:r>
      </w:hyperlink>
      <w:r w:rsidR="00A7725B">
        <w:rPr>
          <w:rStyle w:val="Hyperlink"/>
          <w:rFonts w:ascii="Verdana" w:hAnsi="Verdana" w:cs="Segoe UI"/>
          <w:sz w:val="20"/>
          <w:szCs w:val="20"/>
          <w:bdr w:val="none" w:sz="0" w:space="0" w:color="auto" w:frame="1"/>
        </w:rPr>
        <w:t>,</w:t>
      </w:r>
      <w:r w:rsidR="007B20A7" w:rsidRPr="009B682B">
        <w:rPr>
          <w:rStyle w:val="white-space-pre"/>
          <w:rFonts w:ascii="Verdana" w:hAnsi="Verdana" w:cs="Segoe UI"/>
          <w:sz w:val="20"/>
          <w:szCs w:val="20"/>
          <w:bdr w:val="none" w:sz="0" w:space="0" w:color="auto" w:frame="1"/>
        </w:rPr>
        <w:t xml:space="preserve"> </w:t>
      </w:r>
      <w:r w:rsidRPr="009B682B">
        <w:rPr>
          <w:rFonts w:ascii="Verdana" w:hAnsi="Verdana" w:cs="Segoe UI"/>
          <w:sz w:val="20"/>
          <w:szCs w:val="20"/>
          <w:shd w:val="clear" w:color="auto" w:fill="FFFFFF"/>
        </w:rPr>
        <w:t>interven</w:t>
      </w:r>
      <w:r w:rsidR="00A7725B">
        <w:rPr>
          <w:rFonts w:ascii="Verdana" w:hAnsi="Verdana" w:cs="Segoe UI"/>
          <w:sz w:val="20"/>
          <w:szCs w:val="20"/>
          <w:shd w:val="clear" w:color="auto" w:fill="FFFFFF"/>
        </w:rPr>
        <w:t xml:space="preserve">ed </w:t>
      </w:r>
      <w:r w:rsidRPr="009B682B">
        <w:rPr>
          <w:rFonts w:ascii="Verdana" w:hAnsi="Verdana" w:cs="Segoe UI"/>
          <w:sz w:val="20"/>
          <w:szCs w:val="20"/>
          <w:shd w:val="clear" w:color="auto" w:fill="FFFFFF"/>
        </w:rPr>
        <w:t>as amici curiae.</w:t>
      </w:r>
    </w:p>
    <w:p w14:paraId="57E9B7F7" w14:textId="1813346A" w:rsidR="00ED7A2F" w:rsidRDefault="00ED7A2F" w:rsidP="00EB73A4">
      <w:pPr>
        <w:jc w:val="both"/>
        <w:rPr>
          <w:rFonts w:ascii="Verdana" w:hAnsi="Verdana"/>
          <w:sz w:val="20"/>
          <w:szCs w:val="20"/>
        </w:rPr>
      </w:pPr>
      <w:r w:rsidRPr="00A17297">
        <w:rPr>
          <w:rFonts w:ascii="Verdana" w:hAnsi="Verdana"/>
          <w:sz w:val="20"/>
          <w:szCs w:val="20"/>
        </w:rPr>
        <w:t xml:space="preserve">The application was brought in two </w:t>
      </w:r>
      <w:r w:rsidR="006A03CC" w:rsidRPr="00A17297">
        <w:rPr>
          <w:rFonts w:ascii="Verdana" w:hAnsi="Verdana"/>
          <w:sz w:val="20"/>
          <w:szCs w:val="20"/>
        </w:rPr>
        <w:t>parts</w:t>
      </w:r>
      <w:r w:rsidR="006A03CC">
        <w:rPr>
          <w:rFonts w:ascii="Verdana" w:hAnsi="Verdana"/>
          <w:sz w:val="20"/>
          <w:szCs w:val="20"/>
        </w:rPr>
        <w:t>;</w:t>
      </w:r>
      <w:r w:rsidRPr="00A17297">
        <w:rPr>
          <w:rFonts w:ascii="Verdana" w:hAnsi="Verdana"/>
          <w:sz w:val="20"/>
          <w:szCs w:val="20"/>
        </w:rPr>
        <w:t xml:space="preserve"> A and B</w:t>
      </w:r>
      <w:r w:rsidR="00A7725B">
        <w:rPr>
          <w:rFonts w:ascii="Verdana" w:hAnsi="Verdana"/>
          <w:sz w:val="20"/>
          <w:szCs w:val="20"/>
        </w:rPr>
        <w:t xml:space="preserve">. Judge Adams’s judgment </w:t>
      </w:r>
      <w:r w:rsidRPr="00A17297">
        <w:rPr>
          <w:rFonts w:ascii="Verdana" w:hAnsi="Verdana"/>
          <w:sz w:val="20"/>
          <w:szCs w:val="20"/>
        </w:rPr>
        <w:t>relat</w:t>
      </w:r>
      <w:r w:rsidR="00A7725B">
        <w:rPr>
          <w:rFonts w:ascii="Verdana" w:hAnsi="Verdana"/>
          <w:sz w:val="20"/>
          <w:szCs w:val="20"/>
        </w:rPr>
        <w:t xml:space="preserve">es </w:t>
      </w:r>
      <w:r w:rsidRPr="00A17297">
        <w:rPr>
          <w:rFonts w:ascii="Verdana" w:hAnsi="Verdana"/>
          <w:sz w:val="20"/>
          <w:szCs w:val="20"/>
        </w:rPr>
        <w:t>to part B</w:t>
      </w:r>
      <w:r w:rsidR="00A7725B">
        <w:rPr>
          <w:rFonts w:ascii="Verdana" w:hAnsi="Verdana"/>
          <w:sz w:val="20"/>
          <w:szCs w:val="20"/>
        </w:rPr>
        <w:t xml:space="preserve">. </w:t>
      </w:r>
      <w:r w:rsidR="00A7725B" w:rsidRPr="00A17297">
        <w:rPr>
          <w:rFonts w:ascii="Verdana" w:hAnsi="Verdana"/>
          <w:sz w:val="20"/>
          <w:szCs w:val="20"/>
        </w:rPr>
        <w:t>Part B sought interdictory</w:t>
      </w:r>
      <w:r w:rsidR="00A7725B">
        <w:rPr>
          <w:rFonts w:ascii="Verdana" w:hAnsi="Verdana"/>
          <w:sz w:val="20"/>
          <w:szCs w:val="20"/>
        </w:rPr>
        <w:t xml:space="preserve"> </w:t>
      </w:r>
      <w:r w:rsidR="00A7725B" w:rsidRPr="00A17297">
        <w:rPr>
          <w:rFonts w:ascii="Verdana" w:hAnsi="Verdana"/>
          <w:sz w:val="20"/>
          <w:szCs w:val="20"/>
        </w:rPr>
        <w:t xml:space="preserve">and declaratory relief against the conduct of Operation </w:t>
      </w:r>
      <w:proofErr w:type="spellStart"/>
      <w:r w:rsidR="00A7725B" w:rsidRPr="00A17297">
        <w:rPr>
          <w:rFonts w:ascii="Verdana" w:hAnsi="Verdana"/>
          <w:sz w:val="20"/>
          <w:szCs w:val="20"/>
        </w:rPr>
        <w:t>Dudula</w:t>
      </w:r>
      <w:proofErr w:type="spellEnd"/>
      <w:r w:rsidR="00A7725B" w:rsidRPr="00A17297">
        <w:rPr>
          <w:rFonts w:ascii="Verdana" w:hAnsi="Verdana"/>
          <w:sz w:val="20"/>
          <w:szCs w:val="20"/>
        </w:rPr>
        <w:t>.</w:t>
      </w:r>
      <w:r w:rsidR="00A7725B">
        <w:rPr>
          <w:rFonts w:ascii="Verdana" w:hAnsi="Verdana"/>
          <w:sz w:val="20"/>
          <w:szCs w:val="20"/>
        </w:rPr>
        <w:t xml:space="preserve"> A </w:t>
      </w:r>
      <w:r w:rsidRPr="00A17297">
        <w:rPr>
          <w:rFonts w:ascii="Verdana" w:hAnsi="Verdana"/>
          <w:sz w:val="20"/>
          <w:szCs w:val="20"/>
        </w:rPr>
        <w:t>decision on Part A</w:t>
      </w:r>
      <w:r w:rsidR="00A7725B">
        <w:rPr>
          <w:rFonts w:ascii="Verdana" w:hAnsi="Verdana"/>
          <w:sz w:val="20"/>
          <w:szCs w:val="20"/>
        </w:rPr>
        <w:t xml:space="preserve"> is pending</w:t>
      </w:r>
      <w:r w:rsidRPr="00A17297">
        <w:rPr>
          <w:rFonts w:ascii="Verdana" w:hAnsi="Verdana"/>
          <w:sz w:val="20"/>
          <w:szCs w:val="20"/>
        </w:rPr>
        <w:t xml:space="preserve">. </w:t>
      </w:r>
    </w:p>
    <w:p w14:paraId="5D55EED1" w14:textId="6315E006" w:rsidR="00DB323E" w:rsidRPr="00A17297" w:rsidRDefault="00C13AA0" w:rsidP="00896862">
      <w:pPr>
        <w:jc w:val="both"/>
        <w:rPr>
          <w:rFonts w:ascii="Verdana" w:hAnsi="Verdana"/>
          <w:sz w:val="20"/>
          <w:szCs w:val="20"/>
        </w:rPr>
      </w:pPr>
      <w:r w:rsidRPr="00A17297">
        <w:rPr>
          <w:rFonts w:ascii="Verdana" w:hAnsi="Verdana"/>
          <w:sz w:val="20"/>
          <w:szCs w:val="20"/>
        </w:rPr>
        <w:t xml:space="preserve">The </w:t>
      </w:r>
      <w:r w:rsidR="001830B4" w:rsidRPr="00A17297">
        <w:rPr>
          <w:rFonts w:ascii="Verdana" w:hAnsi="Verdana"/>
          <w:sz w:val="20"/>
          <w:szCs w:val="20"/>
        </w:rPr>
        <w:t>ICJ’s submission</w:t>
      </w:r>
      <w:r w:rsidR="00646BD6" w:rsidRPr="00A17297">
        <w:rPr>
          <w:rFonts w:ascii="Verdana" w:hAnsi="Verdana"/>
          <w:sz w:val="20"/>
          <w:szCs w:val="20"/>
        </w:rPr>
        <w:t xml:space="preserve"> focused on South Africa’s binding international legal obligations and the Constitutional requirement to protect non-citizens from discrimination, violence, and other abuse, particularly in the context of immigration enforcement.</w:t>
      </w:r>
      <w:r w:rsidR="00F91D19" w:rsidRPr="00A17297">
        <w:rPr>
          <w:rFonts w:ascii="Verdana" w:hAnsi="Verdana"/>
          <w:sz w:val="20"/>
          <w:szCs w:val="20"/>
        </w:rPr>
        <w:t xml:space="preserve"> ICJ also raised </w:t>
      </w:r>
      <w:r w:rsidRPr="00A17297">
        <w:rPr>
          <w:rFonts w:ascii="Verdana" w:hAnsi="Verdana"/>
          <w:sz w:val="20"/>
          <w:szCs w:val="20"/>
        </w:rPr>
        <w:t>concerns about the St</w:t>
      </w:r>
      <w:r w:rsidR="00DB323E" w:rsidRPr="00A17297">
        <w:rPr>
          <w:rFonts w:ascii="Verdana" w:hAnsi="Verdana"/>
          <w:sz w:val="20"/>
          <w:szCs w:val="20"/>
        </w:rPr>
        <w:t xml:space="preserve">ate’s failure to fully implement the National Action Plan to Combat Racism, Racial Discrimination, Xenophobia and Related Intolerance, citing </w:t>
      </w:r>
      <w:proofErr w:type="gramStart"/>
      <w:r w:rsidR="00DB323E" w:rsidRPr="00A17297">
        <w:rPr>
          <w:rFonts w:ascii="Verdana" w:hAnsi="Verdana"/>
          <w:sz w:val="20"/>
          <w:szCs w:val="20"/>
        </w:rPr>
        <w:t>in particular the</w:t>
      </w:r>
      <w:proofErr w:type="gramEnd"/>
      <w:r w:rsidR="00DB323E" w:rsidRPr="00A17297">
        <w:rPr>
          <w:rFonts w:ascii="Verdana" w:hAnsi="Verdana"/>
          <w:sz w:val="20"/>
          <w:szCs w:val="20"/>
        </w:rPr>
        <w:t xml:space="preserve"> observations of the UN Committee on the Elimination of Racial Discrimination, which called </w:t>
      </w:r>
      <w:r w:rsidR="007C57CB">
        <w:rPr>
          <w:rFonts w:ascii="Verdana" w:hAnsi="Verdana"/>
          <w:sz w:val="20"/>
          <w:szCs w:val="20"/>
        </w:rPr>
        <w:t>on</w:t>
      </w:r>
      <w:r w:rsidR="007C57CB" w:rsidRPr="00A17297">
        <w:rPr>
          <w:rFonts w:ascii="Verdana" w:hAnsi="Verdana"/>
          <w:sz w:val="20"/>
          <w:szCs w:val="20"/>
        </w:rPr>
        <w:t xml:space="preserve"> </w:t>
      </w:r>
      <w:r w:rsidR="00DB323E" w:rsidRPr="00A17297">
        <w:rPr>
          <w:rFonts w:ascii="Verdana" w:hAnsi="Verdana"/>
          <w:sz w:val="20"/>
          <w:szCs w:val="20"/>
        </w:rPr>
        <w:t>South Africa to finalize its data systems, assess the plans impact, and ensure interdepartmental accountability.</w:t>
      </w:r>
      <w:r w:rsidR="006721EE" w:rsidRPr="00A17297">
        <w:rPr>
          <w:rFonts w:ascii="Verdana" w:hAnsi="Verdana"/>
          <w:sz w:val="20"/>
          <w:szCs w:val="20"/>
        </w:rPr>
        <w:t xml:space="preserve"> The court referenced this in the judgment.</w:t>
      </w:r>
      <w:r w:rsidR="00D77B9D">
        <w:rPr>
          <w:rFonts w:ascii="Verdana" w:hAnsi="Verdana"/>
          <w:sz w:val="20"/>
          <w:szCs w:val="20"/>
        </w:rPr>
        <w:t xml:space="preserve"> </w:t>
      </w:r>
      <w:r w:rsidR="007C57CB">
        <w:rPr>
          <w:rFonts w:ascii="Verdana" w:hAnsi="Verdana"/>
          <w:sz w:val="20"/>
          <w:szCs w:val="20"/>
        </w:rPr>
        <w:t xml:space="preserve">The </w:t>
      </w:r>
      <w:r w:rsidR="00D77B9D">
        <w:rPr>
          <w:rFonts w:ascii="Verdana" w:hAnsi="Verdana"/>
          <w:sz w:val="20"/>
          <w:szCs w:val="20"/>
        </w:rPr>
        <w:t>ICJ</w:t>
      </w:r>
      <w:r w:rsidR="007C57CB">
        <w:rPr>
          <w:rFonts w:ascii="Verdana" w:hAnsi="Verdana"/>
          <w:sz w:val="20"/>
          <w:szCs w:val="20"/>
        </w:rPr>
        <w:t xml:space="preserve">’s </w:t>
      </w:r>
      <w:r w:rsidR="00480470">
        <w:rPr>
          <w:rFonts w:ascii="Verdana" w:hAnsi="Verdana"/>
          <w:sz w:val="20"/>
          <w:szCs w:val="20"/>
        </w:rPr>
        <w:t xml:space="preserve">submission </w:t>
      </w:r>
      <w:r w:rsidR="007C57CB">
        <w:rPr>
          <w:rFonts w:ascii="Verdana" w:hAnsi="Verdana"/>
          <w:sz w:val="20"/>
          <w:szCs w:val="20"/>
        </w:rPr>
        <w:t>relied in part on</w:t>
      </w:r>
      <w:r w:rsidR="003F4DD9">
        <w:rPr>
          <w:rFonts w:ascii="Verdana" w:hAnsi="Verdana"/>
          <w:sz w:val="20"/>
          <w:szCs w:val="20"/>
        </w:rPr>
        <w:t xml:space="preserve"> </w:t>
      </w:r>
      <w:r w:rsidR="00562A0A">
        <w:rPr>
          <w:rFonts w:ascii="Verdana" w:hAnsi="Verdana"/>
          <w:sz w:val="20"/>
          <w:szCs w:val="20"/>
        </w:rPr>
        <w:t xml:space="preserve">the </w:t>
      </w:r>
      <w:hyperlink r:id="rId11" w:history="1">
        <w:r w:rsidR="00562A0A" w:rsidRPr="00480470">
          <w:rPr>
            <w:rStyle w:val="Hyperlink"/>
            <w:rFonts w:ascii="Verdana" w:hAnsi="Verdana"/>
            <w:sz w:val="20"/>
            <w:szCs w:val="20"/>
          </w:rPr>
          <w:t>8 March Principles for a human rights-based approach to criminal laws proscribing conduct associated with sex, reproduction, drug use, HIV, homelessness and poverty.</w:t>
        </w:r>
      </w:hyperlink>
    </w:p>
    <w:p w14:paraId="00349FE5" w14:textId="1A275DA3" w:rsidR="00845816" w:rsidRPr="00A17297" w:rsidRDefault="00845816" w:rsidP="00845816">
      <w:pPr>
        <w:jc w:val="both"/>
        <w:rPr>
          <w:rFonts w:ascii="Verdana" w:hAnsi="Verdana"/>
          <w:sz w:val="20"/>
          <w:szCs w:val="20"/>
        </w:rPr>
      </w:pPr>
      <w:r w:rsidRPr="00A17297">
        <w:rPr>
          <w:rFonts w:ascii="Verdana" w:hAnsi="Verdana"/>
          <w:sz w:val="20"/>
          <w:szCs w:val="20"/>
        </w:rPr>
        <w:t xml:space="preserve">The Applicant KAAX’s claim that the police and Department of Home Affairs support or collude with Operation Dudula was not accepted and the court held that the </w:t>
      </w:r>
      <w:r w:rsidR="002D77ED" w:rsidRPr="00A17297">
        <w:rPr>
          <w:rFonts w:ascii="Verdana" w:hAnsi="Verdana"/>
          <w:sz w:val="20"/>
          <w:szCs w:val="20"/>
        </w:rPr>
        <w:t>applicants failed</w:t>
      </w:r>
      <w:r w:rsidRPr="00A17297">
        <w:rPr>
          <w:rFonts w:ascii="Verdana" w:hAnsi="Verdana"/>
          <w:sz w:val="20"/>
          <w:szCs w:val="20"/>
        </w:rPr>
        <w:t xml:space="preserve"> to present credible evidence to support that claim.</w:t>
      </w:r>
    </w:p>
    <w:p w14:paraId="3A2C55E8" w14:textId="5ED42CAD" w:rsidR="002E63BD" w:rsidRPr="00A17297" w:rsidRDefault="002E63BD" w:rsidP="009A035A">
      <w:pPr>
        <w:jc w:val="both"/>
        <w:rPr>
          <w:rFonts w:ascii="Verdana" w:hAnsi="Verdana"/>
          <w:sz w:val="20"/>
          <w:szCs w:val="20"/>
        </w:rPr>
      </w:pPr>
      <w:r w:rsidRPr="00A17297">
        <w:rPr>
          <w:rFonts w:ascii="Verdana" w:hAnsi="Verdana"/>
          <w:sz w:val="20"/>
          <w:szCs w:val="20"/>
        </w:rPr>
        <w:t>The ICJ was represented by Advocates Irene Mpofu and Thabang Pooe. Webber Wentzel Attorneys represented the ICJ on a pro bono basis.</w:t>
      </w:r>
    </w:p>
    <w:p w14:paraId="594DBB4E" w14:textId="7DF5BCFD" w:rsidR="00673077" w:rsidRDefault="00673077" w:rsidP="009A035A">
      <w:pPr>
        <w:jc w:val="both"/>
        <w:rPr>
          <w:rFonts w:ascii="Verdana" w:eastAsia="Times New Roman" w:hAnsi="Verdana"/>
          <w:color w:val="000000"/>
          <w:sz w:val="20"/>
          <w:szCs w:val="20"/>
        </w:rPr>
      </w:pPr>
      <w:r w:rsidRPr="00A17297">
        <w:rPr>
          <w:rFonts w:ascii="Verdana" w:hAnsi="Verdana"/>
          <w:sz w:val="20"/>
          <w:szCs w:val="20"/>
        </w:rPr>
        <w:t xml:space="preserve">Read the full judgment here: </w:t>
      </w:r>
      <w:hyperlink r:id="rId12" w:history="1">
        <w:r w:rsidRPr="00A17297">
          <w:rPr>
            <w:rStyle w:val="Hyperlink"/>
            <w:rFonts w:ascii="Verdana" w:eastAsia="Times New Roman" w:hAnsi="Verdana"/>
            <w:sz w:val="20"/>
            <w:szCs w:val="20"/>
          </w:rPr>
          <w:t>https://www.saflii.org/za/cases/ZAGPJHC/2025/1102.html</w:t>
        </w:r>
      </w:hyperlink>
      <w:r w:rsidRPr="00A17297">
        <w:rPr>
          <w:rFonts w:ascii="Verdana" w:eastAsia="Times New Roman" w:hAnsi="Verdana"/>
          <w:color w:val="000000"/>
          <w:sz w:val="20"/>
          <w:szCs w:val="20"/>
        </w:rPr>
        <w:t xml:space="preserve"> </w:t>
      </w:r>
    </w:p>
    <w:p w14:paraId="132A8A39" w14:textId="77777777" w:rsidR="006A03CC" w:rsidRDefault="006A03CC" w:rsidP="009A035A">
      <w:pPr>
        <w:jc w:val="both"/>
        <w:rPr>
          <w:rFonts w:ascii="Verdana" w:eastAsia="Times New Roman" w:hAnsi="Verdana"/>
          <w:color w:val="000000"/>
          <w:sz w:val="20"/>
          <w:szCs w:val="20"/>
        </w:rPr>
      </w:pPr>
    </w:p>
    <w:p w14:paraId="03367D87" w14:textId="0EBAB480" w:rsidR="006A03CC" w:rsidRDefault="006A03CC" w:rsidP="009A035A">
      <w:pPr>
        <w:jc w:val="both"/>
        <w:rPr>
          <w:rFonts w:ascii="Verdana" w:eastAsia="Times New Roman" w:hAnsi="Verdana"/>
          <w:color w:val="000000"/>
          <w:sz w:val="20"/>
          <w:szCs w:val="20"/>
        </w:rPr>
      </w:pPr>
      <w:r>
        <w:rPr>
          <w:rFonts w:ascii="Verdana" w:eastAsia="Times New Roman" w:hAnsi="Verdana"/>
          <w:color w:val="000000"/>
          <w:sz w:val="20"/>
          <w:szCs w:val="20"/>
        </w:rPr>
        <w:t>Contact</w:t>
      </w:r>
    </w:p>
    <w:p w14:paraId="639465E8" w14:textId="29E76F1D" w:rsidR="006A03CC" w:rsidRPr="00A17297" w:rsidRDefault="006A03CC" w:rsidP="009A035A">
      <w:pPr>
        <w:jc w:val="both"/>
        <w:rPr>
          <w:rFonts w:ascii="Verdana" w:hAnsi="Verdana"/>
          <w:sz w:val="20"/>
          <w:szCs w:val="20"/>
        </w:rPr>
      </w:pPr>
      <w:r>
        <w:rPr>
          <w:rFonts w:ascii="Verdana" w:eastAsia="Times New Roman" w:hAnsi="Verdana"/>
          <w:color w:val="000000"/>
          <w:sz w:val="20"/>
          <w:szCs w:val="20"/>
        </w:rPr>
        <w:t xml:space="preserve">Kaajal Ramjathan-Keogh, Africa Director </w:t>
      </w:r>
      <w:hyperlink r:id="rId13" w:history="1">
        <w:r w:rsidRPr="00BA2807">
          <w:rPr>
            <w:rStyle w:val="Hyperlink"/>
            <w:rFonts w:ascii="Verdana" w:eastAsia="Times New Roman" w:hAnsi="Verdana"/>
            <w:sz w:val="20"/>
            <w:szCs w:val="20"/>
          </w:rPr>
          <w:t>Kaajal.Keogh@icj.org</w:t>
        </w:r>
      </w:hyperlink>
      <w:r>
        <w:rPr>
          <w:rFonts w:ascii="Verdana" w:eastAsia="Times New Roman" w:hAnsi="Verdana"/>
          <w:color w:val="000000"/>
          <w:sz w:val="20"/>
          <w:szCs w:val="20"/>
        </w:rPr>
        <w:t xml:space="preserve"> </w:t>
      </w:r>
    </w:p>
    <w:sectPr w:rsidR="006A03CC" w:rsidRPr="00A17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0B4"/>
    <w:rsid w:val="000261DC"/>
    <w:rsid w:val="00063C2D"/>
    <w:rsid w:val="000D0276"/>
    <w:rsid w:val="000D3EA0"/>
    <w:rsid w:val="00110B91"/>
    <w:rsid w:val="001125A2"/>
    <w:rsid w:val="001830B4"/>
    <w:rsid w:val="001B6028"/>
    <w:rsid w:val="001C149A"/>
    <w:rsid w:val="001E5DFB"/>
    <w:rsid w:val="0027131F"/>
    <w:rsid w:val="00296BBB"/>
    <w:rsid w:val="002D77ED"/>
    <w:rsid w:val="002E63BD"/>
    <w:rsid w:val="002F0934"/>
    <w:rsid w:val="002F7D35"/>
    <w:rsid w:val="00307BA4"/>
    <w:rsid w:val="003653DA"/>
    <w:rsid w:val="00391CA9"/>
    <w:rsid w:val="003F4DD9"/>
    <w:rsid w:val="00480470"/>
    <w:rsid w:val="00482A4F"/>
    <w:rsid w:val="004869F8"/>
    <w:rsid w:val="004D529C"/>
    <w:rsid w:val="00562A0A"/>
    <w:rsid w:val="00566DDA"/>
    <w:rsid w:val="0061530B"/>
    <w:rsid w:val="00634551"/>
    <w:rsid w:val="00646BD6"/>
    <w:rsid w:val="006721EE"/>
    <w:rsid w:val="00673077"/>
    <w:rsid w:val="00691C58"/>
    <w:rsid w:val="006A03CC"/>
    <w:rsid w:val="00710431"/>
    <w:rsid w:val="00740AB6"/>
    <w:rsid w:val="00777335"/>
    <w:rsid w:val="0079578F"/>
    <w:rsid w:val="007B20A7"/>
    <w:rsid w:val="007C57CB"/>
    <w:rsid w:val="007F2587"/>
    <w:rsid w:val="00845816"/>
    <w:rsid w:val="00896862"/>
    <w:rsid w:val="009233E9"/>
    <w:rsid w:val="009737A2"/>
    <w:rsid w:val="00987033"/>
    <w:rsid w:val="009A035A"/>
    <w:rsid w:val="009B5345"/>
    <w:rsid w:val="009B682B"/>
    <w:rsid w:val="00A17297"/>
    <w:rsid w:val="00A20343"/>
    <w:rsid w:val="00A7725B"/>
    <w:rsid w:val="00A94F2F"/>
    <w:rsid w:val="00AE6CE8"/>
    <w:rsid w:val="00AE7E71"/>
    <w:rsid w:val="00B062A8"/>
    <w:rsid w:val="00B14448"/>
    <w:rsid w:val="00B33039"/>
    <w:rsid w:val="00B5428F"/>
    <w:rsid w:val="00B6552D"/>
    <w:rsid w:val="00B80316"/>
    <w:rsid w:val="00BB297A"/>
    <w:rsid w:val="00BE068C"/>
    <w:rsid w:val="00C13AA0"/>
    <w:rsid w:val="00C203C5"/>
    <w:rsid w:val="00C32329"/>
    <w:rsid w:val="00C5458A"/>
    <w:rsid w:val="00C81C5F"/>
    <w:rsid w:val="00CA59AD"/>
    <w:rsid w:val="00CB06F8"/>
    <w:rsid w:val="00CD5758"/>
    <w:rsid w:val="00CF0635"/>
    <w:rsid w:val="00D40892"/>
    <w:rsid w:val="00D77B9D"/>
    <w:rsid w:val="00DB323E"/>
    <w:rsid w:val="00DC75A3"/>
    <w:rsid w:val="00DD7106"/>
    <w:rsid w:val="00DE4BC6"/>
    <w:rsid w:val="00E13FF2"/>
    <w:rsid w:val="00E55559"/>
    <w:rsid w:val="00E81C0F"/>
    <w:rsid w:val="00E91996"/>
    <w:rsid w:val="00E95B2F"/>
    <w:rsid w:val="00EA2842"/>
    <w:rsid w:val="00EA66AF"/>
    <w:rsid w:val="00EB73A4"/>
    <w:rsid w:val="00EC1054"/>
    <w:rsid w:val="00EC68BF"/>
    <w:rsid w:val="00ED7A2F"/>
    <w:rsid w:val="00F17DD0"/>
    <w:rsid w:val="00F815EA"/>
    <w:rsid w:val="00F86165"/>
    <w:rsid w:val="00F91D19"/>
    <w:rsid w:val="00FA006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A14CD"/>
  <w15:docId w15:val="{AE64712B-5857-44FD-849C-3C3064C2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0B4"/>
    <w:rPr>
      <w:rFonts w:eastAsiaTheme="majorEastAsia" w:cstheme="majorBidi"/>
      <w:color w:val="272727" w:themeColor="text1" w:themeTint="D8"/>
    </w:rPr>
  </w:style>
  <w:style w:type="paragraph" w:styleId="Title">
    <w:name w:val="Title"/>
    <w:basedOn w:val="Normal"/>
    <w:next w:val="Normal"/>
    <w:link w:val="TitleChar"/>
    <w:uiPriority w:val="10"/>
    <w:qFormat/>
    <w:rsid w:val="00183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0B4"/>
    <w:pPr>
      <w:spacing w:before="160"/>
      <w:jc w:val="center"/>
    </w:pPr>
    <w:rPr>
      <w:i/>
      <w:iCs/>
      <w:color w:val="404040" w:themeColor="text1" w:themeTint="BF"/>
    </w:rPr>
  </w:style>
  <w:style w:type="character" w:customStyle="1" w:styleId="QuoteChar">
    <w:name w:val="Quote Char"/>
    <w:basedOn w:val="DefaultParagraphFont"/>
    <w:link w:val="Quote"/>
    <w:uiPriority w:val="29"/>
    <w:rsid w:val="001830B4"/>
    <w:rPr>
      <w:i/>
      <w:iCs/>
      <w:color w:val="404040" w:themeColor="text1" w:themeTint="BF"/>
    </w:rPr>
  </w:style>
  <w:style w:type="paragraph" w:styleId="ListParagraph">
    <w:name w:val="List Paragraph"/>
    <w:basedOn w:val="Normal"/>
    <w:uiPriority w:val="34"/>
    <w:qFormat/>
    <w:rsid w:val="001830B4"/>
    <w:pPr>
      <w:ind w:left="720"/>
      <w:contextualSpacing/>
    </w:pPr>
  </w:style>
  <w:style w:type="character" w:styleId="IntenseEmphasis">
    <w:name w:val="Intense Emphasis"/>
    <w:basedOn w:val="DefaultParagraphFont"/>
    <w:uiPriority w:val="21"/>
    <w:qFormat/>
    <w:rsid w:val="001830B4"/>
    <w:rPr>
      <w:i/>
      <w:iCs/>
      <w:color w:val="0F4761" w:themeColor="accent1" w:themeShade="BF"/>
    </w:rPr>
  </w:style>
  <w:style w:type="paragraph" w:styleId="IntenseQuote">
    <w:name w:val="Intense Quote"/>
    <w:basedOn w:val="Normal"/>
    <w:next w:val="Normal"/>
    <w:link w:val="IntenseQuoteChar"/>
    <w:uiPriority w:val="30"/>
    <w:qFormat/>
    <w:rsid w:val="00183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0B4"/>
    <w:rPr>
      <w:i/>
      <w:iCs/>
      <w:color w:val="0F4761" w:themeColor="accent1" w:themeShade="BF"/>
    </w:rPr>
  </w:style>
  <w:style w:type="character" w:styleId="IntenseReference">
    <w:name w:val="Intense Reference"/>
    <w:basedOn w:val="DefaultParagraphFont"/>
    <w:uiPriority w:val="32"/>
    <w:qFormat/>
    <w:rsid w:val="001830B4"/>
    <w:rPr>
      <w:b/>
      <w:bCs/>
      <w:smallCaps/>
      <w:color w:val="0F4761" w:themeColor="accent1" w:themeShade="BF"/>
      <w:spacing w:val="5"/>
    </w:rPr>
  </w:style>
  <w:style w:type="character" w:customStyle="1" w:styleId="white-space-pre">
    <w:name w:val="white-space-pre"/>
    <w:basedOn w:val="DefaultParagraphFont"/>
    <w:rsid w:val="00CF0635"/>
  </w:style>
  <w:style w:type="character" w:styleId="Hyperlink">
    <w:name w:val="Hyperlink"/>
    <w:basedOn w:val="DefaultParagraphFont"/>
    <w:uiPriority w:val="99"/>
    <w:unhideWhenUsed/>
    <w:rsid w:val="00CF0635"/>
    <w:rPr>
      <w:color w:val="0000FF"/>
      <w:u w:val="single"/>
    </w:rPr>
  </w:style>
  <w:style w:type="character" w:customStyle="1" w:styleId="UnresolvedMention1">
    <w:name w:val="Unresolved Mention1"/>
    <w:basedOn w:val="DefaultParagraphFont"/>
    <w:uiPriority w:val="99"/>
    <w:semiHidden/>
    <w:unhideWhenUsed/>
    <w:rsid w:val="00480470"/>
    <w:rPr>
      <w:color w:val="605E5C"/>
      <w:shd w:val="clear" w:color="auto" w:fill="E1DFDD"/>
    </w:rPr>
  </w:style>
  <w:style w:type="paragraph" w:styleId="BalloonText">
    <w:name w:val="Balloon Text"/>
    <w:basedOn w:val="Normal"/>
    <w:link w:val="BalloonTextChar"/>
    <w:uiPriority w:val="99"/>
    <w:semiHidden/>
    <w:unhideWhenUsed/>
    <w:rsid w:val="00B144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4448"/>
    <w:rPr>
      <w:rFonts w:ascii="Lucida Grande" w:hAnsi="Lucida Grande" w:cs="Lucida Grande"/>
      <w:sz w:val="18"/>
      <w:szCs w:val="18"/>
    </w:rPr>
  </w:style>
  <w:style w:type="character" w:styleId="CommentReference">
    <w:name w:val="annotation reference"/>
    <w:basedOn w:val="DefaultParagraphFont"/>
    <w:uiPriority w:val="99"/>
    <w:semiHidden/>
    <w:unhideWhenUsed/>
    <w:rsid w:val="00CA59AD"/>
    <w:rPr>
      <w:sz w:val="18"/>
      <w:szCs w:val="18"/>
    </w:rPr>
  </w:style>
  <w:style w:type="paragraph" w:styleId="CommentText">
    <w:name w:val="annotation text"/>
    <w:basedOn w:val="Normal"/>
    <w:link w:val="CommentTextChar"/>
    <w:uiPriority w:val="99"/>
    <w:semiHidden/>
    <w:unhideWhenUsed/>
    <w:rsid w:val="00CA59AD"/>
    <w:pPr>
      <w:spacing w:line="240" w:lineRule="auto"/>
    </w:pPr>
  </w:style>
  <w:style w:type="character" w:customStyle="1" w:styleId="CommentTextChar">
    <w:name w:val="Comment Text Char"/>
    <w:basedOn w:val="DefaultParagraphFont"/>
    <w:link w:val="CommentText"/>
    <w:uiPriority w:val="99"/>
    <w:semiHidden/>
    <w:rsid w:val="00CA59AD"/>
  </w:style>
  <w:style w:type="paragraph" w:styleId="CommentSubject">
    <w:name w:val="annotation subject"/>
    <w:basedOn w:val="CommentText"/>
    <w:next w:val="CommentText"/>
    <w:link w:val="CommentSubjectChar"/>
    <w:uiPriority w:val="99"/>
    <w:semiHidden/>
    <w:unhideWhenUsed/>
    <w:rsid w:val="00CA59AD"/>
    <w:rPr>
      <w:b/>
      <w:bCs/>
      <w:sz w:val="20"/>
      <w:szCs w:val="20"/>
    </w:rPr>
  </w:style>
  <w:style w:type="character" w:customStyle="1" w:styleId="CommentSubjectChar">
    <w:name w:val="Comment Subject Char"/>
    <w:basedOn w:val="CommentTextChar"/>
    <w:link w:val="CommentSubject"/>
    <w:uiPriority w:val="99"/>
    <w:semiHidden/>
    <w:rsid w:val="00CA59AD"/>
    <w:rPr>
      <w:b/>
      <w:bCs/>
      <w:sz w:val="20"/>
      <w:szCs w:val="20"/>
    </w:rPr>
  </w:style>
  <w:style w:type="paragraph" w:styleId="Revision">
    <w:name w:val="Revision"/>
    <w:hidden/>
    <w:uiPriority w:val="99"/>
    <w:semiHidden/>
    <w:rsid w:val="006A03CC"/>
    <w:pPr>
      <w:spacing w:after="0" w:line="240" w:lineRule="auto"/>
    </w:pPr>
  </w:style>
  <w:style w:type="character" w:styleId="UnresolvedMention">
    <w:name w:val="Unresolved Mention"/>
    <w:basedOn w:val="DefaultParagraphFont"/>
    <w:uiPriority w:val="99"/>
    <w:semiHidden/>
    <w:unhideWhenUsed/>
    <w:rsid w:val="006A0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lawyers-for-human-rights/" TargetMode="External"/><Relationship Id="rId13" Type="http://schemas.openxmlformats.org/officeDocument/2006/relationships/hyperlink" Target="mailto:Kaajal.Keogh@icj.org" TargetMode="External"/><Relationship Id="rId3" Type="http://schemas.openxmlformats.org/officeDocument/2006/relationships/webSettings" Target="webSettings.xml"/><Relationship Id="rId7" Type="http://schemas.openxmlformats.org/officeDocument/2006/relationships/hyperlink" Target="https://www.linkedin.com/company/webber-wentzel/" TargetMode="External"/><Relationship Id="rId12" Type="http://schemas.openxmlformats.org/officeDocument/2006/relationships/hyperlink" Target="https://che01.safelinks.protection.outlook.com/?url=https%3A%2F%2Fwww.saflii.org%2Fza%2Fcases%2FZAGPJHC%2F2025%2F1102.html&amp;data=05%7C02%7C%7C46b77f739f1e463ef56f08de1c4c1dd3%7Cdfcc979a62ca46d5961a49e5581ef0c8%7C0%7C0%7C638979310394334039%7CUnknown%7CTWFpbGZsb3d8eyJFbXB0eU1hcGkiOnRydWUsIlYiOiIwLjAuMDAwMCIsIlAiOiJXaW4zMiIsIkFOIjoiTWFpbCIsIldUIjoyfQ%3D%3D%7C0%7C%7C%7C&amp;sdata=9TVLPZ7pWrwb0BeMdv03D%2Fq3DaEWZRmTiQKlws9xXD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international-commission-of-jurists/?lipi=urn%3Ali%3Apage%3Ad_flagship3_feed%3B5rmuXwa2QEGwxjkGpDYGxQ%3D%3D" TargetMode="External"/><Relationship Id="rId11" Type="http://schemas.openxmlformats.org/officeDocument/2006/relationships/hyperlink" Target="https://www.icj.org/wp-content/uploads/2023/03/Principles-Report_English.pdf" TargetMode="External"/><Relationship Id="rId5" Type="http://schemas.openxmlformats.org/officeDocument/2006/relationships/hyperlink" Target="https://www.linkedin.com/company/section27/" TargetMode="External"/><Relationship Id="rId15" Type="http://schemas.openxmlformats.org/officeDocument/2006/relationships/theme" Target="theme/theme1.xml"/><Relationship Id="rId10" Type="http://schemas.openxmlformats.org/officeDocument/2006/relationships/hyperlink" Target="https://powerlaw.africa/" TargetMode="External"/><Relationship Id="rId4" Type="http://schemas.openxmlformats.org/officeDocument/2006/relationships/hyperlink" Target="https://www.linkedin.com/company/socio-economic-rights-institute/" TargetMode="External"/><Relationship Id="rId9" Type="http://schemas.openxmlformats.org/officeDocument/2006/relationships/hyperlink" Target="https://www.linkedin.com/company/media-monitoring-africa/?lipi=urn%3Ali%3Apage%3Ad_flagship3_company_posts%3B22cTFuFRQVSsqnqvZPEkYA%3D%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948</Words>
  <Characters>5407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Kaajal Ramjathan-Keogh</dc:creator>
  <cp:keywords/>
  <dc:description/>
  <cp:lastModifiedBy>Kaajal Ramjathan-Keogh</cp:lastModifiedBy>
  <cp:revision>2</cp:revision>
  <dcterms:created xsi:type="dcterms:W3CDTF">2025-11-05T11:48:00Z</dcterms:created>
  <dcterms:modified xsi:type="dcterms:W3CDTF">2025-11-05T11:48:00Z</dcterms:modified>
</cp:coreProperties>
</file>