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A529" w14:textId="77777777" w:rsidR="00947658" w:rsidRDefault="00947658" w:rsidP="00DF240A">
      <w:pPr>
        <w:spacing w:line="276" w:lineRule="auto"/>
        <w:ind w:right="-334"/>
        <w:rPr>
          <w:rFonts w:ascii="Garamond" w:eastAsia="Book Antiqua" w:hAnsi="Garamond" w:cs="Book Antiqua"/>
          <w:b/>
        </w:rPr>
      </w:pPr>
    </w:p>
    <w:p w14:paraId="658551B1" w14:textId="53C61185" w:rsidR="00947658" w:rsidRDefault="00DF240A" w:rsidP="00DF240A">
      <w:pPr>
        <w:spacing w:line="276" w:lineRule="auto"/>
        <w:ind w:left="-90" w:hanging="450"/>
        <w:rPr>
          <w:rFonts w:ascii="Garamond" w:eastAsia="Book Antiqua" w:hAnsi="Garamond" w:cs="Book Antiqua"/>
          <w:b/>
        </w:rPr>
      </w:pPr>
      <w:r w:rsidRPr="00DF240A">
        <w:rPr>
          <w:rFonts w:ascii="Garamond" w:eastAsia="Book Antiqua" w:hAnsi="Garamond" w:cs="Book Antiqua"/>
          <w:b/>
          <w:noProof/>
        </w:rPr>
        <w:drawing>
          <wp:inline distT="0" distB="0" distL="0" distR="0" wp14:anchorId="59EA604B" wp14:editId="34DF415E">
            <wp:extent cx="2002421" cy="893237"/>
            <wp:effectExtent l="0" t="0" r="4445" b="0"/>
            <wp:docPr id="61651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13233" name=""/>
                    <pic:cNvPicPr/>
                  </pic:nvPicPr>
                  <pic:blipFill>
                    <a:blip r:embed="rId7"/>
                    <a:stretch>
                      <a:fillRect/>
                    </a:stretch>
                  </pic:blipFill>
                  <pic:spPr>
                    <a:xfrm>
                      <a:off x="0" y="0"/>
                      <a:ext cx="2150405" cy="959250"/>
                    </a:xfrm>
                    <a:prstGeom prst="rect">
                      <a:avLst/>
                    </a:prstGeom>
                  </pic:spPr>
                </pic:pic>
              </a:graphicData>
            </a:graphic>
          </wp:inline>
        </w:drawing>
      </w:r>
      <w:r>
        <w:rPr>
          <w:rFonts w:ascii="Garamond" w:eastAsia="Book Antiqua" w:hAnsi="Garamond" w:cs="Book Antiqua"/>
          <w:b/>
        </w:rPr>
        <w:t xml:space="preserve">    </w:t>
      </w:r>
      <w:r>
        <w:rPr>
          <w:rFonts w:ascii="Garamond" w:eastAsia="Book Antiqua" w:hAnsi="Garamond" w:cs="Book Antiqua"/>
          <w:b/>
          <w:noProof/>
        </w:rPr>
        <w:drawing>
          <wp:inline distT="0" distB="0" distL="0" distR="0" wp14:anchorId="744AFCC8" wp14:editId="483DA1FB">
            <wp:extent cx="1224490" cy="715297"/>
            <wp:effectExtent l="0" t="0" r="0" b="0"/>
            <wp:docPr id="2011625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25106" name="Picture 2011625106"/>
                    <pic:cNvPicPr/>
                  </pic:nvPicPr>
                  <pic:blipFill>
                    <a:blip r:embed="rId8">
                      <a:extLst>
                        <a:ext uri="{28A0092B-C50C-407E-A947-70E740481C1C}">
                          <a14:useLocalDpi xmlns:a14="http://schemas.microsoft.com/office/drawing/2010/main" val="0"/>
                        </a:ext>
                      </a:extLst>
                    </a:blip>
                    <a:stretch>
                      <a:fillRect/>
                    </a:stretch>
                  </pic:blipFill>
                  <pic:spPr>
                    <a:xfrm>
                      <a:off x="0" y="0"/>
                      <a:ext cx="1253461" cy="732221"/>
                    </a:xfrm>
                    <a:prstGeom prst="rect">
                      <a:avLst/>
                    </a:prstGeom>
                  </pic:spPr>
                </pic:pic>
              </a:graphicData>
            </a:graphic>
          </wp:inline>
        </w:drawing>
      </w:r>
      <w:r>
        <w:rPr>
          <w:rFonts w:ascii="Garamond" w:eastAsia="Book Antiqua" w:hAnsi="Garamond" w:cs="Book Antiqua"/>
          <w:b/>
        </w:rPr>
        <w:t xml:space="preserve">   </w:t>
      </w:r>
      <w:r w:rsidRPr="00DF240A">
        <w:rPr>
          <w:rFonts w:ascii="Garamond" w:eastAsia="Book Antiqua" w:hAnsi="Garamond" w:cs="Book Antiqua"/>
          <w:b/>
          <w:noProof/>
        </w:rPr>
        <w:drawing>
          <wp:inline distT="0" distB="0" distL="0" distR="0" wp14:anchorId="71435B8B" wp14:editId="1B5A3CE7">
            <wp:extent cx="1474839" cy="609438"/>
            <wp:effectExtent l="0" t="0" r="0" b="635"/>
            <wp:docPr id="186588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81042" name=""/>
                    <pic:cNvPicPr/>
                  </pic:nvPicPr>
                  <pic:blipFill>
                    <a:blip r:embed="rId9"/>
                    <a:stretch>
                      <a:fillRect/>
                    </a:stretch>
                  </pic:blipFill>
                  <pic:spPr>
                    <a:xfrm>
                      <a:off x="0" y="0"/>
                      <a:ext cx="1489859" cy="615645"/>
                    </a:xfrm>
                    <a:prstGeom prst="rect">
                      <a:avLst/>
                    </a:prstGeom>
                  </pic:spPr>
                </pic:pic>
              </a:graphicData>
            </a:graphic>
          </wp:inline>
        </w:drawing>
      </w:r>
      <w:r w:rsidRPr="00DF240A">
        <w:rPr>
          <w:rFonts w:ascii="Times New Roman" w:hAnsi="Times New Roman" w:cs="Times New Roman"/>
        </w:rPr>
        <w:t xml:space="preserve"> </w:t>
      </w:r>
      <w:r w:rsidRPr="00A747F3">
        <w:rPr>
          <w:rFonts w:ascii="Times New Roman" w:hAnsi="Times New Roman" w:cs="Times New Roman"/>
          <w:noProof/>
        </w:rPr>
        <w:drawing>
          <wp:inline distT="0" distB="0" distL="0" distR="0" wp14:anchorId="709B0231" wp14:editId="7E0C0CEA">
            <wp:extent cx="1053297" cy="1489929"/>
            <wp:effectExtent l="0" t="0" r="1270" b="0"/>
            <wp:docPr id="600038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8450" name=""/>
                    <pic:cNvPicPr/>
                  </pic:nvPicPr>
                  <pic:blipFill>
                    <a:blip r:embed="rId10"/>
                    <a:stretch>
                      <a:fillRect/>
                    </a:stretch>
                  </pic:blipFill>
                  <pic:spPr>
                    <a:xfrm>
                      <a:off x="0" y="0"/>
                      <a:ext cx="1119186" cy="1583132"/>
                    </a:xfrm>
                    <a:prstGeom prst="rect">
                      <a:avLst/>
                    </a:prstGeom>
                  </pic:spPr>
                </pic:pic>
              </a:graphicData>
            </a:graphic>
          </wp:inline>
        </w:drawing>
      </w:r>
    </w:p>
    <w:p w14:paraId="27ABC2AD" w14:textId="6BAFB721" w:rsidR="00DF240A" w:rsidRDefault="00DF240A" w:rsidP="00DF240A">
      <w:pPr>
        <w:spacing w:line="276" w:lineRule="auto"/>
        <w:rPr>
          <w:rFonts w:ascii="Garamond" w:eastAsia="Book Antiqua" w:hAnsi="Garamond" w:cs="Book Antiqua"/>
          <w:b/>
        </w:rPr>
      </w:pPr>
      <w:r>
        <w:fldChar w:fldCharType="begin"/>
      </w:r>
      <w:r>
        <w:instrText xml:space="preserve"> INCLUDEPICTURE "https://mail.google.com/mail/u/2/?ui=2&amp;ik=d19742ef68&amp;attid=0.0.1&amp;permmsgid=msg-f%3A1847584088830104009&amp;permmsgid=msg-f%3A1847584088830104009&amp;th=19a3eff09b61d1c9&amp;view=fimg&amp;fur=ip&amp;sz=s0-l75-ft&amp;attbid=ANGjdJ-8tiZOvqho_GiIKqtQMVVCGYDDSzdyTfXp5XRrX9ejZ4wowDjxSxI9hDMjUk3b4dPmZyHerknFIsl5Dy0CZAbhw_ja5pORUGcpJJ9u1zjZJZuBKkWq984ay8c&amp;disp=emb&amp;zw" \* MERGEFORMATINET </w:instrText>
      </w:r>
      <w:r>
        <w:fldChar w:fldCharType="separate"/>
      </w:r>
      <w:r>
        <w:fldChar w:fldCharType="end"/>
      </w:r>
    </w:p>
    <w:p w14:paraId="6386BF53" w14:textId="77777777" w:rsidR="00947658" w:rsidRDefault="00947658" w:rsidP="006213CD">
      <w:pPr>
        <w:spacing w:line="276" w:lineRule="auto"/>
        <w:jc w:val="right"/>
        <w:rPr>
          <w:rFonts w:ascii="Garamond" w:eastAsia="Book Antiqua" w:hAnsi="Garamond" w:cs="Book Antiqua"/>
          <w:b/>
        </w:rPr>
      </w:pPr>
    </w:p>
    <w:p w14:paraId="17A64D0D" w14:textId="77777777" w:rsidR="00947658" w:rsidRDefault="00947658" w:rsidP="00DF240A">
      <w:pPr>
        <w:spacing w:line="276" w:lineRule="auto"/>
        <w:rPr>
          <w:rFonts w:ascii="Garamond" w:eastAsia="Book Antiqua" w:hAnsi="Garamond" w:cs="Book Antiqua"/>
          <w:b/>
        </w:rPr>
      </w:pPr>
    </w:p>
    <w:p w14:paraId="00000004" w14:textId="20632C46" w:rsidR="003A2DDF" w:rsidRPr="006213CD" w:rsidRDefault="00FD0894" w:rsidP="006213CD">
      <w:pPr>
        <w:spacing w:line="276" w:lineRule="auto"/>
        <w:jc w:val="right"/>
        <w:rPr>
          <w:rFonts w:ascii="Garamond" w:eastAsia="Book Antiqua" w:hAnsi="Garamond" w:cs="Book Antiqua"/>
          <w:b/>
          <w:color w:val="1F497D" w:themeColor="text2"/>
        </w:rPr>
      </w:pPr>
      <w:r w:rsidRPr="006213CD">
        <w:rPr>
          <w:rFonts w:ascii="Garamond" w:eastAsia="Book Antiqua" w:hAnsi="Garamond" w:cs="Book Antiqua"/>
          <w:b/>
        </w:rPr>
        <w:t>31 October 2025</w:t>
      </w:r>
      <w:r w:rsidR="006213CD">
        <w:rPr>
          <w:rFonts w:ascii="Garamond" w:eastAsia="Book Antiqua" w:hAnsi="Garamond" w:cs="Book Antiqua"/>
          <w:b/>
        </w:rPr>
        <w:t xml:space="preserve"> </w:t>
      </w:r>
      <w:r w:rsidR="006213CD" w:rsidRPr="006213CD">
        <w:rPr>
          <w:rFonts w:ascii="Garamond" w:eastAsia="Book Antiqua" w:hAnsi="Garamond" w:cs="Book Antiqua"/>
          <w:b/>
          <w:color w:val="1F497D" w:themeColor="text2"/>
        </w:rPr>
        <w:t>(For immediate release)</w:t>
      </w:r>
    </w:p>
    <w:p w14:paraId="00000005" w14:textId="77777777" w:rsidR="003A2DDF" w:rsidRPr="006213CD" w:rsidRDefault="003A2DDF">
      <w:pPr>
        <w:rPr>
          <w:rFonts w:ascii="Garamond" w:eastAsia="Book Antiqua" w:hAnsi="Garamond" w:cs="Book Antiqua"/>
          <w:color w:val="1F497D" w:themeColor="text2"/>
        </w:rPr>
      </w:pPr>
    </w:p>
    <w:p w14:paraId="00000006" w14:textId="695502E5" w:rsidR="003A2DDF" w:rsidRPr="006213CD" w:rsidRDefault="00FD0894">
      <w:pPr>
        <w:rPr>
          <w:rFonts w:ascii="Garamond" w:eastAsia="Book Antiqua" w:hAnsi="Garamond" w:cs="Book Antiqua"/>
          <w:b/>
          <w:sz w:val="26"/>
          <w:szCs w:val="26"/>
        </w:rPr>
      </w:pPr>
      <w:r w:rsidRPr="006213CD">
        <w:rPr>
          <w:rFonts w:ascii="Garamond" w:eastAsia="Book Antiqua" w:hAnsi="Garamond" w:cs="Book Antiqua"/>
          <w:b/>
          <w:sz w:val="26"/>
          <w:szCs w:val="26"/>
        </w:rPr>
        <w:t xml:space="preserve">Southern </w:t>
      </w:r>
      <w:r w:rsidR="004C1B58" w:rsidRPr="006213CD">
        <w:rPr>
          <w:rFonts w:ascii="Garamond" w:eastAsia="Book Antiqua" w:hAnsi="Garamond" w:cs="Book Antiqua"/>
          <w:b/>
          <w:sz w:val="26"/>
          <w:szCs w:val="26"/>
        </w:rPr>
        <w:t xml:space="preserve">African Human Rights </w:t>
      </w:r>
      <w:r w:rsidRPr="006213CD">
        <w:rPr>
          <w:rFonts w:ascii="Garamond" w:eastAsia="Book Antiqua" w:hAnsi="Garamond" w:cs="Book Antiqua"/>
          <w:b/>
          <w:sz w:val="26"/>
          <w:szCs w:val="26"/>
        </w:rPr>
        <w:t>Defenders Condemn Escalating Human Rights Violations Following Tanzania’s 29 October 2025 Elections</w:t>
      </w:r>
    </w:p>
    <w:p w14:paraId="00000007" w14:textId="77777777" w:rsidR="003A2DDF" w:rsidRPr="006213CD" w:rsidRDefault="003A2DDF">
      <w:pPr>
        <w:jc w:val="both"/>
        <w:rPr>
          <w:rFonts w:ascii="Garamond" w:eastAsia="Book Antiqua" w:hAnsi="Garamond" w:cs="Book Antiqua"/>
          <w:sz w:val="22"/>
          <w:szCs w:val="22"/>
        </w:rPr>
      </w:pPr>
    </w:p>
    <w:p w14:paraId="00000008" w14:textId="1048D297" w:rsidR="003A2DDF" w:rsidRPr="006213CD" w:rsidRDefault="004C1B58">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 xml:space="preserve">We, the undersigned human rights organisations </w:t>
      </w:r>
      <w:r w:rsidR="006213CD">
        <w:rPr>
          <w:rFonts w:ascii="Garamond" w:eastAsia="Book Antiqua" w:hAnsi="Garamond" w:cs="Book Antiqua"/>
          <w:sz w:val="22"/>
          <w:szCs w:val="22"/>
        </w:rPr>
        <w:t>operating in Southern Africa, and</w:t>
      </w:r>
      <w:r w:rsidRPr="006213CD">
        <w:rPr>
          <w:rFonts w:ascii="Garamond" w:eastAsia="Book Antiqua" w:hAnsi="Garamond" w:cs="Book Antiqua"/>
          <w:sz w:val="22"/>
          <w:szCs w:val="22"/>
        </w:rPr>
        <w:t xml:space="preserve"> members of the Southern Africa Human Rights Defenders Network (Southern Defenders), are</w:t>
      </w:r>
      <w:r w:rsidR="00FD0894" w:rsidRPr="006213CD">
        <w:rPr>
          <w:rFonts w:ascii="Garamond" w:eastAsia="Book Antiqua" w:hAnsi="Garamond" w:cs="Book Antiqua"/>
          <w:sz w:val="22"/>
          <w:szCs w:val="22"/>
        </w:rPr>
        <w:t xml:space="preserve"> deeply concerned about the escalating human rights crisis in Tanzania following the 29 October 2025 elections. We strongly condemn the ongoing electoral violence and the growing reports of intimidation, harassment, and human rights violations in Tanzania.</w:t>
      </w:r>
    </w:p>
    <w:p w14:paraId="00000009" w14:textId="77777777" w:rsidR="003A2DDF" w:rsidRPr="006213CD" w:rsidRDefault="003A2DDF">
      <w:pPr>
        <w:spacing w:line="360" w:lineRule="auto"/>
        <w:jc w:val="both"/>
        <w:rPr>
          <w:rFonts w:ascii="Garamond" w:eastAsia="Book Antiqua" w:hAnsi="Garamond" w:cs="Book Antiqua"/>
          <w:sz w:val="22"/>
          <w:szCs w:val="22"/>
        </w:rPr>
      </w:pPr>
    </w:p>
    <w:p w14:paraId="0000000A" w14:textId="587A8870"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 xml:space="preserve">We note with grave concern the failure by the Government of the Republic of Tanzania to guarantee the fundamental rights and freedoms of its citizens, including the right to life, security of person, and freedoms of expression, association, and political participation as enshrined in the Constitution of the United Republic of Tanzania, the </w:t>
      </w:r>
      <w:r w:rsidR="00947658">
        <w:rPr>
          <w:rFonts w:ascii="Garamond" w:eastAsia="Book Antiqua" w:hAnsi="Garamond" w:cs="Book Antiqua"/>
          <w:sz w:val="22"/>
          <w:szCs w:val="22"/>
        </w:rPr>
        <w:t>Southern Africa Development Community (</w:t>
      </w:r>
      <w:r w:rsidRPr="006213CD">
        <w:rPr>
          <w:rFonts w:ascii="Garamond" w:eastAsia="Book Antiqua" w:hAnsi="Garamond" w:cs="Book Antiqua"/>
          <w:sz w:val="22"/>
          <w:szCs w:val="22"/>
        </w:rPr>
        <w:t>SADC</w:t>
      </w:r>
      <w:r w:rsidR="00947658">
        <w:rPr>
          <w:rFonts w:ascii="Garamond" w:eastAsia="Book Antiqua" w:hAnsi="Garamond" w:cs="Book Antiqua"/>
          <w:sz w:val="22"/>
          <w:szCs w:val="22"/>
        </w:rPr>
        <w:t>)</w:t>
      </w:r>
      <w:r w:rsidRPr="006213CD">
        <w:rPr>
          <w:rFonts w:ascii="Garamond" w:eastAsia="Book Antiqua" w:hAnsi="Garamond" w:cs="Book Antiqua"/>
          <w:sz w:val="22"/>
          <w:szCs w:val="22"/>
        </w:rPr>
        <w:t xml:space="preserve"> Treaty and its relevant protocols, the African Charter on Human and Peoples’ Rights (ACHPR), and the International Covenant on Civil and Political Rights (ICCPR), to which Tanzania is a State Party.</w:t>
      </w:r>
    </w:p>
    <w:p w14:paraId="0000000B" w14:textId="77777777" w:rsidR="003A2DDF" w:rsidRPr="006213CD" w:rsidRDefault="00FD0894">
      <w:pPr>
        <w:spacing w:before="240" w:after="240"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In the period leading up to the elections, national human rights groups documented a sharp increase in serious human rights violations, including torture, abductions, enforced disappearances, and arbitrary arrests. These violations predominantly targeted opposition leaders and members, journalists, and human rights defenders (HRDs). The main opposition party, CHADEMA, objected to the holding of elections without necessary reforms. Consequently, its leader, Tundu Lissu, was arrested and has been in detention since April 2025 on trumped-up charges of treason.</w:t>
      </w:r>
    </w:p>
    <w:p w14:paraId="0000000C" w14:textId="71054462" w:rsidR="003A2DDF" w:rsidRPr="006213CD" w:rsidRDefault="00FD0894">
      <w:pPr>
        <w:spacing w:line="360" w:lineRule="auto"/>
        <w:jc w:val="both"/>
        <w:rPr>
          <w:rFonts w:ascii="Garamond" w:eastAsia="Book Antiqua" w:hAnsi="Garamond" w:cs="Book Antiqua"/>
          <w:b/>
          <w:color w:val="EE0000"/>
          <w:sz w:val="22"/>
          <w:szCs w:val="22"/>
        </w:rPr>
      </w:pPr>
      <w:bookmarkStart w:id="0" w:name="_g47c7u5bxraz" w:colFirst="0" w:colLast="0"/>
      <w:bookmarkEnd w:id="0"/>
      <w:r w:rsidRPr="006213CD">
        <w:rPr>
          <w:rFonts w:ascii="Garamond" w:eastAsia="Book Antiqua" w:hAnsi="Garamond" w:cs="Book Antiqua"/>
          <w:sz w:val="22"/>
          <w:szCs w:val="22"/>
        </w:rPr>
        <w:t>National human rights groups have also reported that, between 1 and 25 October 2025 alone, Tanzania experienced an alarming wave of 52 abductions across various regions, mostly affecting CHADEMA members and supporters, including teachers, pharmacists, motorcyclists, and other civilians. Of particular concern is the enforced disappearance of former Tanzanian ambassador to Cuba, Humphrey Polepole, a high</w:t>
      </w:r>
      <w:r w:rsidR="006213CD">
        <w:rPr>
          <w:rFonts w:ascii="Garamond" w:eastAsia="Book Antiqua" w:hAnsi="Garamond" w:cs="Book Antiqua"/>
          <w:sz w:val="22"/>
          <w:szCs w:val="22"/>
        </w:rPr>
        <w:t>-</w:t>
      </w:r>
      <w:r w:rsidRPr="006213CD">
        <w:rPr>
          <w:rFonts w:ascii="Garamond" w:eastAsia="Book Antiqua" w:hAnsi="Garamond" w:cs="Book Antiqua"/>
          <w:sz w:val="22"/>
          <w:szCs w:val="22"/>
        </w:rPr>
        <w:t>profile case that remains unresolved.</w:t>
      </w:r>
    </w:p>
    <w:p w14:paraId="0000000D" w14:textId="77777777" w:rsidR="003A2DDF" w:rsidRPr="006213CD" w:rsidRDefault="003A2DDF">
      <w:pPr>
        <w:spacing w:line="360" w:lineRule="auto"/>
        <w:jc w:val="both"/>
        <w:rPr>
          <w:rFonts w:ascii="Garamond" w:eastAsia="Book Antiqua" w:hAnsi="Garamond" w:cs="Book Antiqua"/>
          <w:b/>
          <w:sz w:val="22"/>
          <w:szCs w:val="22"/>
        </w:rPr>
      </w:pPr>
    </w:p>
    <w:p w14:paraId="0000000E" w14:textId="721D52F1"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Further to this, Southern Defenders notes that the 29 October elections fell far short of both national and international standards required to ensure free, fair, and credible polls. Regrettably, credible observer missions, including those from SADC and the European Union</w:t>
      </w:r>
      <w:r w:rsidR="006213CD">
        <w:rPr>
          <w:rFonts w:ascii="Garamond" w:eastAsia="Book Antiqua" w:hAnsi="Garamond" w:cs="Book Antiqua"/>
          <w:sz w:val="22"/>
          <w:szCs w:val="22"/>
        </w:rPr>
        <w:t>,</w:t>
      </w:r>
      <w:r w:rsidRPr="006213CD">
        <w:rPr>
          <w:rFonts w:ascii="Garamond" w:eastAsia="Book Antiqua" w:hAnsi="Garamond" w:cs="Book Antiqua"/>
          <w:sz w:val="22"/>
          <w:szCs w:val="22"/>
        </w:rPr>
        <w:t xml:space="preserve"> were denied accreditation. The few observers permitted to operate did so under conditions of fear and intimidation. Media freedom was severely curtailed, with widespread censorship and an internet shutdown that created an information blackout. The democratic space was further restricted through harassment of journalists and civil society actors. HRDs continue to face reprisals for condemning electoral violence and calling for transparency.</w:t>
      </w:r>
    </w:p>
    <w:p w14:paraId="0000000F" w14:textId="77777777" w:rsidR="003A2DDF" w:rsidRPr="006213CD" w:rsidRDefault="003A2DDF">
      <w:pPr>
        <w:pBdr>
          <w:top w:val="nil"/>
          <w:left w:val="nil"/>
          <w:bottom w:val="nil"/>
          <w:right w:val="nil"/>
          <w:between w:val="nil"/>
        </w:pBdr>
        <w:spacing w:line="360" w:lineRule="auto"/>
        <w:jc w:val="both"/>
        <w:rPr>
          <w:rFonts w:ascii="Garamond" w:eastAsia="Book Antiqua" w:hAnsi="Garamond" w:cs="Book Antiqua"/>
          <w:color w:val="000000"/>
          <w:sz w:val="22"/>
          <w:szCs w:val="22"/>
        </w:rPr>
      </w:pPr>
    </w:p>
    <w:p w14:paraId="00000010" w14:textId="77EBCF63" w:rsidR="003A2DDF" w:rsidRPr="006213CD" w:rsidRDefault="00FD0894">
      <w:pPr>
        <w:pBdr>
          <w:top w:val="nil"/>
          <w:left w:val="nil"/>
          <w:bottom w:val="nil"/>
          <w:right w:val="nil"/>
          <w:between w:val="nil"/>
        </w:pBd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On election day, Southern Defenders received credible reports of a heavy military presence in major towns across the country. Citizens took to the streets to protest, demanding electoral reforms and calling for a boycott of the polls. The state’s response was violent and disproportionate</w:t>
      </w:r>
      <w:r w:rsidR="00DB7A20" w:rsidRPr="006213CD">
        <w:rPr>
          <w:rFonts w:ascii="Garamond" w:eastAsia="Book Antiqua" w:hAnsi="Garamond" w:cs="Book Antiqua"/>
          <w:sz w:val="22"/>
          <w:szCs w:val="22"/>
        </w:rPr>
        <w:t>.</w:t>
      </w:r>
      <w:r w:rsidRPr="006213CD">
        <w:rPr>
          <w:rFonts w:ascii="Garamond" w:eastAsia="Book Antiqua" w:hAnsi="Garamond" w:cs="Book Antiqua"/>
          <w:sz w:val="22"/>
          <w:szCs w:val="22"/>
        </w:rPr>
        <w:t xml:space="preserve"> </w:t>
      </w:r>
      <w:r w:rsidR="00DB7A20" w:rsidRPr="006213CD">
        <w:rPr>
          <w:rFonts w:ascii="Garamond" w:eastAsia="Book Antiqua" w:hAnsi="Garamond" w:cs="Book Antiqua"/>
          <w:sz w:val="22"/>
          <w:szCs w:val="22"/>
        </w:rPr>
        <w:t>R</w:t>
      </w:r>
      <w:r w:rsidRPr="006213CD">
        <w:rPr>
          <w:rFonts w:ascii="Garamond" w:eastAsia="Book Antiqua" w:hAnsi="Garamond" w:cs="Book Antiqua"/>
          <w:sz w:val="22"/>
          <w:szCs w:val="22"/>
        </w:rPr>
        <w:t>ights groups estimate</w:t>
      </w:r>
      <w:r w:rsidR="00947658">
        <w:rPr>
          <w:rFonts w:ascii="Garamond" w:eastAsia="Book Antiqua" w:hAnsi="Garamond" w:cs="Book Antiqua"/>
          <w:sz w:val="22"/>
          <w:szCs w:val="22"/>
        </w:rPr>
        <w:t>d</w:t>
      </w:r>
      <w:r w:rsidRPr="006213CD">
        <w:rPr>
          <w:rFonts w:ascii="Garamond" w:eastAsia="Book Antiqua" w:hAnsi="Garamond" w:cs="Book Antiqua"/>
          <w:sz w:val="22"/>
          <w:szCs w:val="22"/>
        </w:rPr>
        <w:t xml:space="preserve"> that at least 200 people were killed as a result of clashes and excessive use of force by security agencies. </w:t>
      </w:r>
      <w:r w:rsidR="00947658">
        <w:rPr>
          <w:rFonts w:ascii="Garamond" w:eastAsia="Book Antiqua" w:hAnsi="Garamond" w:cs="Book Antiqua"/>
          <w:sz w:val="22"/>
          <w:szCs w:val="22"/>
        </w:rPr>
        <w:t xml:space="preserve">By 31 October 2025, media reports indicated the number of casualties to be about 700. </w:t>
      </w:r>
      <w:r w:rsidRPr="006213CD">
        <w:rPr>
          <w:rFonts w:ascii="Garamond" w:eastAsia="Book Antiqua" w:hAnsi="Garamond" w:cs="Book Antiqua"/>
          <w:sz w:val="22"/>
          <w:szCs w:val="22"/>
        </w:rPr>
        <w:t>The deployment of security forces and the suppression of peaceful dissent have created an atmosphere of fear and mistrust, eroding public confidence in democratic governance and threatening long</w:t>
      </w:r>
      <w:r w:rsidR="00DB7A20" w:rsidRPr="006213CD">
        <w:rPr>
          <w:rFonts w:ascii="Garamond" w:eastAsia="Book Antiqua" w:hAnsi="Garamond" w:cs="Book Antiqua"/>
          <w:sz w:val="22"/>
          <w:szCs w:val="22"/>
        </w:rPr>
        <w:t>-</w:t>
      </w:r>
      <w:r w:rsidRPr="006213CD">
        <w:rPr>
          <w:rFonts w:ascii="Garamond" w:eastAsia="Book Antiqua" w:hAnsi="Garamond" w:cs="Book Antiqua"/>
          <w:sz w:val="22"/>
          <w:szCs w:val="22"/>
        </w:rPr>
        <w:t>term peace and stability.</w:t>
      </w:r>
    </w:p>
    <w:p w14:paraId="00000011" w14:textId="77777777" w:rsidR="003A2DDF" w:rsidRPr="006213CD" w:rsidRDefault="00FD0894">
      <w:pPr>
        <w:spacing w:before="280" w:after="280"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Instead, the use of excessive force by security agencies, restrictions on opposition activities, and the suppression of independent media and civil society voices have created an atmosphere of fear and mistrust. Such actions undermine the integrity of the electoral process, erode public confidence in democratic governance and are a threat to peace and stability.</w:t>
      </w:r>
    </w:p>
    <w:p w14:paraId="00000012" w14:textId="77777777" w:rsidR="003A2DDF" w:rsidRPr="006213CD" w:rsidRDefault="00FD0894">
      <w:pPr>
        <w:spacing w:before="240" w:after="240"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Tanzania has long been regarded as a pillar of peace and stability in the Southern African region. Southern Defenders reminds the government of the Republic of Tanzania that it bears the primary responsibility to uphold democratic practices and protect all citizens, regardless of their political affiliation or opinion. Therefore, we urge the Tanzanian government to safeguard this legacy by recommitting to constitutionalism, the rule of law, and respect for human rights and fundamental freedoms.</w:t>
      </w:r>
    </w:p>
    <w:p w14:paraId="00000013"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Southern Defenders also expresses deep concern over the deportation of Dr. Blessing Vava, who was detained and interrogated for several hours upon arrival at Julius Nyerere International Airport. His passport was confiscated. Dr. Vava’s intended mission to engage with civil society counterparts was a legitimate effort to promote solidarity and collaboration with those who fight for justice and equality. His treatment by authorities reflects Tanzania’s growing intolerance towards civil society and HRDs.</w:t>
      </w:r>
    </w:p>
    <w:p w14:paraId="00000014" w14:textId="77777777" w:rsidR="003A2DDF" w:rsidRPr="006213CD" w:rsidRDefault="003A2DDF">
      <w:pPr>
        <w:spacing w:line="360" w:lineRule="auto"/>
        <w:jc w:val="both"/>
        <w:rPr>
          <w:rFonts w:ascii="Garamond" w:eastAsia="Book Antiqua" w:hAnsi="Garamond" w:cs="Book Antiqua"/>
          <w:sz w:val="22"/>
          <w:szCs w:val="22"/>
        </w:rPr>
      </w:pPr>
    </w:p>
    <w:p w14:paraId="00000015"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Southern Defenders remain deeply troubled by the shrinking civic space and increasing hostility towards human rights defenders, civil society activists, and opposition voices in Tanzania. These actors play a crucial role in promoting transparency, accountability, and justice values essential for sustainable peace and democratic governance.</w:t>
      </w:r>
    </w:p>
    <w:p w14:paraId="00000016" w14:textId="77777777" w:rsidR="003A2DDF" w:rsidRPr="006213CD" w:rsidRDefault="003A2DDF">
      <w:pPr>
        <w:spacing w:line="360" w:lineRule="auto"/>
        <w:jc w:val="both"/>
        <w:rPr>
          <w:rFonts w:ascii="Garamond" w:eastAsia="Book Antiqua" w:hAnsi="Garamond" w:cs="Book Antiqua"/>
          <w:sz w:val="22"/>
          <w:szCs w:val="22"/>
        </w:rPr>
      </w:pPr>
    </w:p>
    <w:p w14:paraId="00000017" w14:textId="01606B12"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As a member of SADC and the African Union, Tanzania is bound by the SADC Treaty and Protocols, as well as the African Charter on Democracy, Elections, and Governance, which obligate State Parties to promote democratic governance and prevent violence or intimidation during electoral processes. It is therefore crucial for Tanzania to recommit to these principles and work towards resolving conflicts in a manner that aligns with democratic ideals.</w:t>
      </w:r>
    </w:p>
    <w:p w14:paraId="00000018" w14:textId="77777777" w:rsidR="003A2DDF" w:rsidRPr="006213CD" w:rsidRDefault="003A2DDF">
      <w:pPr>
        <w:spacing w:line="360" w:lineRule="auto"/>
        <w:jc w:val="both"/>
        <w:rPr>
          <w:rFonts w:ascii="Garamond" w:eastAsia="Book Antiqua" w:hAnsi="Garamond" w:cs="Book Antiqua"/>
          <w:sz w:val="22"/>
          <w:szCs w:val="22"/>
        </w:rPr>
      </w:pPr>
    </w:p>
    <w:p w14:paraId="00000019" w14:textId="6AF8319B" w:rsidR="003A2DDF" w:rsidRPr="006213CD" w:rsidRDefault="00FD0894">
      <w:pPr>
        <w:spacing w:line="360" w:lineRule="auto"/>
        <w:jc w:val="both"/>
        <w:rPr>
          <w:rFonts w:ascii="Garamond" w:eastAsia="Book Antiqua" w:hAnsi="Garamond" w:cs="Book Antiqua"/>
          <w:b/>
          <w:bCs/>
          <w:sz w:val="22"/>
          <w:szCs w:val="22"/>
        </w:rPr>
      </w:pPr>
      <w:r w:rsidRPr="006213CD">
        <w:rPr>
          <w:rFonts w:ascii="Garamond" w:eastAsia="Book Antiqua" w:hAnsi="Garamond" w:cs="Book Antiqua"/>
          <w:b/>
          <w:bCs/>
          <w:sz w:val="22"/>
          <w:szCs w:val="22"/>
        </w:rPr>
        <w:t>Southern Defenders</w:t>
      </w:r>
      <w:r w:rsidR="00947658">
        <w:rPr>
          <w:rFonts w:ascii="Garamond" w:eastAsia="Book Antiqua" w:hAnsi="Garamond" w:cs="Book Antiqua"/>
          <w:b/>
          <w:bCs/>
          <w:sz w:val="22"/>
          <w:szCs w:val="22"/>
        </w:rPr>
        <w:t>,</w:t>
      </w:r>
      <w:r w:rsidRPr="006213CD">
        <w:rPr>
          <w:rFonts w:ascii="Garamond" w:eastAsia="Book Antiqua" w:hAnsi="Garamond" w:cs="Book Antiqua"/>
          <w:b/>
          <w:bCs/>
          <w:sz w:val="22"/>
          <w:szCs w:val="22"/>
        </w:rPr>
        <w:t xml:space="preserve"> therefore</w:t>
      </w:r>
      <w:r w:rsidR="006213CD">
        <w:rPr>
          <w:rFonts w:ascii="Garamond" w:eastAsia="Book Antiqua" w:hAnsi="Garamond" w:cs="Book Antiqua"/>
          <w:b/>
          <w:bCs/>
          <w:sz w:val="22"/>
          <w:szCs w:val="22"/>
        </w:rPr>
        <w:t>,</w:t>
      </w:r>
      <w:r w:rsidRPr="006213CD">
        <w:rPr>
          <w:rFonts w:ascii="Garamond" w:eastAsia="Book Antiqua" w:hAnsi="Garamond" w:cs="Book Antiqua"/>
          <w:b/>
          <w:bCs/>
          <w:sz w:val="22"/>
          <w:szCs w:val="22"/>
        </w:rPr>
        <w:t xml:space="preserve"> calls upon the Government of Tanzania to:</w:t>
      </w:r>
    </w:p>
    <w:p w14:paraId="0000001A" w14:textId="77777777" w:rsidR="003A2DDF" w:rsidRPr="006213CD" w:rsidRDefault="003A2DDF">
      <w:pPr>
        <w:spacing w:line="360" w:lineRule="auto"/>
        <w:jc w:val="both"/>
        <w:rPr>
          <w:rFonts w:ascii="Garamond" w:eastAsia="Book Antiqua" w:hAnsi="Garamond" w:cs="Book Antiqua"/>
          <w:sz w:val="22"/>
          <w:szCs w:val="22"/>
        </w:rPr>
      </w:pPr>
    </w:p>
    <w:p w14:paraId="0000001B" w14:textId="080FB454"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 xml:space="preserve">(a)   Lead by example to Champion alignment with </w:t>
      </w:r>
      <w:r w:rsidR="006213CD">
        <w:rPr>
          <w:rFonts w:ascii="Garamond" w:eastAsia="Book Antiqua" w:hAnsi="Garamond" w:cs="Book Antiqua"/>
          <w:sz w:val="22"/>
          <w:szCs w:val="22"/>
        </w:rPr>
        <w:t xml:space="preserve">the </w:t>
      </w:r>
      <w:r w:rsidRPr="006213CD">
        <w:rPr>
          <w:rFonts w:ascii="Garamond" w:eastAsia="Book Antiqua" w:hAnsi="Garamond" w:cs="Book Antiqua"/>
          <w:sz w:val="22"/>
          <w:szCs w:val="22"/>
        </w:rPr>
        <w:t>SADC Treaty &amp; Declaration, including all Protocols, particularly the SADC Principles Guidelines Governing Democratic Elections, SADC Protocol on Politics</w:t>
      </w:r>
      <w:r w:rsidR="006213CD">
        <w:rPr>
          <w:rFonts w:ascii="Garamond" w:eastAsia="Book Antiqua" w:hAnsi="Garamond" w:cs="Book Antiqua"/>
          <w:sz w:val="22"/>
          <w:szCs w:val="22"/>
        </w:rPr>
        <w:t>,</w:t>
      </w:r>
      <w:r w:rsidRPr="006213CD">
        <w:rPr>
          <w:rFonts w:ascii="Garamond" w:eastAsia="Book Antiqua" w:hAnsi="Garamond" w:cs="Book Antiqua"/>
          <w:sz w:val="22"/>
          <w:szCs w:val="22"/>
        </w:rPr>
        <w:t xml:space="preserve"> Defence Security Cooperation</w:t>
      </w:r>
      <w:r w:rsidR="006213CD">
        <w:rPr>
          <w:rFonts w:ascii="Garamond" w:eastAsia="Book Antiqua" w:hAnsi="Garamond" w:cs="Book Antiqua"/>
          <w:sz w:val="22"/>
          <w:szCs w:val="22"/>
        </w:rPr>
        <w:t>,</w:t>
      </w:r>
      <w:r w:rsidRPr="006213CD">
        <w:rPr>
          <w:rFonts w:ascii="Garamond" w:eastAsia="Book Antiqua" w:hAnsi="Garamond" w:cs="Book Antiqua"/>
          <w:sz w:val="22"/>
          <w:szCs w:val="22"/>
        </w:rPr>
        <w:t xml:space="preserve"> as </w:t>
      </w:r>
      <w:r w:rsidR="00947658">
        <w:rPr>
          <w:rFonts w:ascii="Garamond" w:eastAsia="Book Antiqua" w:hAnsi="Garamond" w:cs="Book Antiqua"/>
          <w:sz w:val="22"/>
          <w:szCs w:val="22"/>
        </w:rPr>
        <w:t xml:space="preserve">the outgoing </w:t>
      </w:r>
      <w:r w:rsidRPr="006213CD">
        <w:rPr>
          <w:rFonts w:ascii="Garamond" w:eastAsia="Book Antiqua" w:hAnsi="Garamond" w:cs="Book Antiqua"/>
          <w:sz w:val="22"/>
          <w:szCs w:val="22"/>
        </w:rPr>
        <w:t>Chairperson of the Organ</w:t>
      </w:r>
      <w:r w:rsidR="00947658">
        <w:rPr>
          <w:rFonts w:ascii="Garamond" w:eastAsia="Book Antiqua" w:hAnsi="Garamond" w:cs="Book Antiqua"/>
          <w:sz w:val="22"/>
          <w:szCs w:val="22"/>
        </w:rPr>
        <w:t xml:space="preserve"> on Politics</w:t>
      </w:r>
      <w:r w:rsidRPr="006213CD">
        <w:rPr>
          <w:rFonts w:ascii="Garamond" w:eastAsia="Book Antiqua" w:hAnsi="Garamond" w:cs="Book Antiqua"/>
          <w:sz w:val="22"/>
          <w:szCs w:val="22"/>
        </w:rPr>
        <w:t>,</w:t>
      </w:r>
      <w:r w:rsidR="00947658">
        <w:rPr>
          <w:rFonts w:ascii="Garamond" w:eastAsia="Book Antiqua" w:hAnsi="Garamond" w:cs="Book Antiqua"/>
          <w:sz w:val="22"/>
          <w:szCs w:val="22"/>
        </w:rPr>
        <w:t xml:space="preserve"> Defence and Security Cooperation</w:t>
      </w:r>
      <w:r w:rsidRPr="006213CD">
        <w:rPr>
          <w:rFonts w:ascii="Garamond" w:eastAsia="Book Antiqua" w:hAnsi="Garamond" w:cs="Book Antiqua"/>
          <w:sz w:val="22"/>
          <w:szCs w:val="22"/>
        </w:rPr>
        <w:t xml:space="preserve"> to safeguard the people of this region from breakdown of the rule of law, reprisals, intimidation, </w:t>
      </w:r>
      <w:r w:rsidR="006213CD">
        <w:rPr>
          <w:rFonts w:ascii="Garamond" w:eastAsia="Book Antiqua" w:hAnsi="Garamond" w:cs="Book Antiqua"/>
          <w:sz w:val="22"/>
          <w:szCs w:val="22"/>
        </w:rPr>
        <w:t xml:space="preserve">and </w:t>
      </w:r>
      <w:r w:rsidRPr="006213CD">
        <w:rPr>
          <w:rFonts w:ascii="Garamond" w:eastAsia="Book Antiqua" w:hAnsi="Garamond" w:cs="Book Antiqua"/>
          <w:sz w:val="22"/>
          <w:szCs w:val="22"/>
        </w:rPr>
        <w:t>aggression.</w:t>
      </w:r>
    </w:p>
    <w:p w14:paraId="0000001C" w14:textId="77777777" w:rsidR="003A2DDF" w:rsidRPr="006213CD" w:rsidRDefault="003A2DDF">
      <w:pPr>
        <w:spacing w:line="360" w:lineRule="auto"/>
        <w:jc w:val="both"/>
        <w:rPr>
          <w:rFonts w:ascii="Garamond" w:eastAsia="Book Antiqua" w:hAnsi="Garamond" w:cs="Book Antiqua"/>
          <w:sz w:val="22"/>
          <w:szCs w:val="22"/>
        </w:rPr>
      </w:pPr>
    </w:p>
    <w:p w14:paraId="0000001D" w14:textId="0FD589C5"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(b) End reprisals targeting human rights defenders, civil society activists, including repealing aggressive laws conflicting with AU Agenda 2063, and Article 10 &amp; 11</w:t>
      </w:r>
      <w:r w:rsidR="00231573" w:rsidRPr="006213CD">
        <w:rPr>
          <w:rFonts w:ascii="Garamond" w:eastAsia="Book Antiqua" w:hAnsi="Garamond" w:cs="Book Antiqua"/>
          <w:sz w:val="22"/>
          <w:szCs w:val="22"/>
        </w:rPr>
        <w:t xml:space="preserve"> of the</w:t>
      </w:r>
      <w:r w:rsidRPr="006213CD">
        <w:rPr>
          <w:rFonts w:ascii="Garamond" w:eastAsia="Book Antiqua" w:hAnsi="Garamond" w:cs="Book Antiqua"/>
          <w:sz w:val="22"/>
          <w:szCs w:val="22"/>
        </w:rPr>
        <w:t xml:space="preserve"> African Charter on Human and People’s Rights, Guidelines on Freedom of Association and Assembly safeguarding freedom of association, assembly, expression.</w:t>
      </w:r>
    </w:p>
    <w:p w14:paraId="0000001E" w14:textId="77777777" w:rsidR="003A2DDF" w:rsidRPr="006213CD" w:rsidRDefault="003A2DDF">
      <w:pPr>
        <w:spacing w:line="360" w:lineRule="auto"/>
        <w:jc w:val="both"/>
        <w:rPr>
          <w:rFonts w:ascii="Garamond" w:eastAsia="Book Antiqua" w:hAnsi="Garamond" w:cs="Book Antiqua"/>
          <w:sz w:val="22"/>
          <w:szCs w:val="22"/>
        </w:rPr>
      </w:pPr>
    </w:p>
    <w:p w14:paraId="0000001F"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(c) Implement the AU Charter on Democracy, Elections, and Governance provisions safeguarding peace, security, democracy, rule of law, transparency and accountability to prevent violence, deportation of election observers, and human rights defenders, civil society cooperating with the UN and AU human rights systems</w:t>
      </w:r>
    </w:p>
    <w:p w14:paraId="00000020" w14:textId="77777777" w:rsidR="003A2DDF" w:rsidRPr="006213CD" w:rsidRDefault="003A2DDF">
      <w:pPr>
        <w:spacing w:line="360" w:lineRule="auto"/>
        <w:jc w:val="both"/>
        <w:rPr>
          <w:rFonts w:ascii="Garamond" w:eastAsia="Book Antiqua" w:hAnsi="Garamond" w:cs="Book Antiqua"/>
          <w:sz w:val="22"/>
          <w:szCs w:val="22"/>
        </w:rPr>
      </w:pPr>
    </w:p>
    <w:p w14:paraId="00000021"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(d) Cease all forms of violence, intimidation, and harassment against citizens, journalists, opposition members, and human rights defenders.</w:t>
      </w:r>
    </w:p>
    <w:p w14:paraId="00000022" w14:textId="77777777" w:rsidR="003A2DDF" w:rsidRPr="006213CD" w:rsidRDefault="003A2DDF">
      <w:pPr>
        <w:spacing w:line="360" w:lineRule="auto"/>
        <w:jc w:val="both"/>
        <w:rPr>
          <w:rFonts w:ascii="Garamond" w:eastAsia="Book Antiqua" w:hAnsi="Garamond" w:cs="Book Antiqua"/>
          <w:sz w:val="22"/>
          <w:szCs w:val="22"/>
        </w:rPr>
      </w:pPr>
    </w:p>
    <w:p w14:paraId="00000023"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(e)Release all political prisoners, including Tundu Lissu, and account for all victims of abductions and enforced disappearances.</w:t>
      </w:r>
    </w:p>
    <w:p w14:paraId="00000024" w14:textId="77777777" w:rsidR="003A2DDF" w:rsidRPr="006213CD" w:rsidRDefault="003A2DDF">
      <w:pPr>
        <w:spacing w:line="360" w:lineRule="auto"/>
        <w:jc w:val="both"/>
        <w:rPr>
          <w:rFonts w:ascii="Garamond" w:eastAsia="Book Antiqua" w:hAnsi="Garamond" w:cs="Book Antiqua"/>
          <w:sz w:val="22"/>
          <w:szCs w:val="22"/>
        </w:rPr>
      </w:pPr>
    </w:p>
    <w:p w14:paraId="00000025"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(f) Ensure independent investigations into reports of killings, abductions, and other human rights violations, with perpetrators held accountable.</w:t>
      </w:r>
    </w:p>
    <w:p w14:paraId="00000026" w14:textId="77777777" w:rsidR="003A2DDF" w:rsidRPr="006213CD" w:rsidRDefault="003A2DDF">
      <w:pPr>
        <w:spacing w:line="360" w:lineRule="auto"/>
        <w:jc w:val="both"/>
        <w:rPr>
          <w:rFonts w:ascii="Garamond" w:eastAsia="Book Antiqua" w:hAnsi="Garamond" w:cs="Book Antiqua"/>
          <w:sz w:val="22"/>
          <w:szCs w:val="22"/>
        </w:rPr>
      </w:pPr>
    </w:p>
    <w:p w14:paraId="00000027"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(g)Restore civic and media freedoms and guarantee the safety of human rights defenders.</w:t>
      </w:r>
    </w:p>
    <w:p w14:paraId="00000028" w14:textId="77777777" w:rsidR="003A2DDF" w:rsidRPr="006213CD" w:rsidRDefault="003A2DDF">
      <w:pPr>
        <w:spacing w:line="360" w:lineRule="auto"/>
        <w:jc w:val="both"/>
        <w:rPr>
          <w:rFonts w:ascii="Garamond" w:eastAsia="Book Antiqua" w:hAnsi="Garamond" w:cs="Book Antiqua"/>
          <w:sz w:val="22"/>
          <w:szCs w:val="22"/>
        </w:rPr>
      </w:pPr>
    </w:p>
    <w:p w14:paraId="00000029" w14:textId="77777777" w:rsidR="003A2DDF" w:rsidRPr="006213CD" w:rsidRDefault="00FD0894">
      <w:pPr>
        <w:spacing w:line="360" w:lineRule="auto"/>
        <w:jc w:val="both"/>
        <w:rPr>
          <w:rFonts w:ascii="Garamond" w:eastAsia="Book Antiqua" w:hAnsi="Garamond" w:cs="Book Antiqua"/>
          <w:sz w:val="22"/>
          <w:szCs w:val="22"/>
        </w:rPr>
      </w:pPr>
      <w:r w:rsidRPr="006213CD">
        <w:rPr>
          <w:rFonts w:ascii="Garamond" w:eastAsia="Book Antiqua" w:hAnsi="Garamond" w:cs="Book Antiqua"/>
          <w:sz w:val="22"/>
          <w:szCs w:val="22"/>
        </w:rPr>
        <w:t>(h)Recommit to regional and international human rights obligations, upholding democratic principles in accordance with the SADC and AU frameworks.</w:t>
      </w:r>
    </w:p>
    <w:p w14:paraId="0000002A" w14:textId="77777777" w:rsidR="003A2DDF" w:rsidRPr="00DB7A20" w:rsidRDefault="003A2DDF">
      <w:pPr>
        <w:rPr>
          <w:rFonts w:ascii="Bookman Old Style" w:eastAsia="Arial" w:hAnsi="Bookman Old Style" w:cs="Arial"/>
          <w:sz w:val="22"/>
          <w:szCs w:val="22"/>
        </w:rPr>
      </w:pPr>
    </w:p>
    <w:p w14:paraId="4F85AE11" w14:textId="7C8AB74B" w:rsidR="00DB7A20" w:rsidRPr="00DB7A20" w:rsidRDefault="00DB7A20">
      <w:pPr>
        <w:rPr>
          <w:rFonts w:ascii="Bookman Old Style" w:eastAsia="Arial" w:hAnsi="Bookman Old Style" w:cs="Arial"/>
          <w:b/>
          <w:bCs/>
          <w:sz w:val="22"/>
          <w:szCs w:val="22"/>
        </w:rPr>
      </w:pPr>
      <w:r w:rsidRPr="00DB7A20">
        <w:rPr>
          <w:rFonts w:ascii="Bookman Old Style" w:eastAsia="Arial" w:hAnsi="Bookman Old Style" w:cs="Arial"/>
          <w:b/>
          <w:bCs/>
          <w:sz w:val="22"/>
          <w:szCs w:val="22"/>
        </w:rPr>
        <w:t xml:space="preserve">Signed </w:t>
      </w:r>
    </w:p>
    <w:p w14:paraId="48CDB0A1" w14:textId="77777777" w:rsidR="00DB7A20" w:rsidRPr="00DB7A20" w:rsidRDefault="00DB7A20">
      <w:pPr>
        <w:rPr>
          <w:rFonts w:ascii="Bookman Old Style" w:eastAsia="Arial" w:hAnsi="Bookman Old Style" w:cs="Arial"/>
          <w:sz w:val="22"/>
          <w:szCs w:val="22"/>
        </w:rPr>
      </w:pPr>
    </w:p>
    <w:p w14:paraId="0B74E25F" w14:textId="007FCDD9" w:rsidR="00DB7A20" w:rsidRDefault="00DB7A20" w:rsidP="006213CD">
      <w:pPr>
        <w:pStyle w:val="ListParagraph"/>
        <w:numPr>
          <w:ilvl w:val="0"/>
          <w:numId w:val="1"/>
        </w:numPr>
        <w:rPr>
          <w:rFonts w:ascii="Garamond" w:eastAsia="Arial" w:hAnsi="Garamond" w:cs="Arial"/>
          <w:sz w:val="22"/>
          <w:szCs w:val="22"/>
        </w:rPr>
      </w:pPr>
      <w:r w:rsidRPr="006213CD">
        <w:rPr>
          <w:rFonts w:ascii="Garamond" w:eastAsia="Arial" w:hAnsi="Garamond" w:cs="Arial"/>
          <w:sz w:val="22"/>
          <w:szCs w:val="22"/>
        </w:rPr>
        <w:t xml:space="preserve">International Commission for Jurists </w:t>
      </w:r>
      <w:r w:rsidR="001A7B93">
        <w:rPr>
          <w:rFonts w:ascii="Garamond" w:eastAsia="Arial" w:hAnsi="Garamond" w:cs="Arial"/>
          <w:sz w:val="22"/>
          <w:szCs w:val="22"/>
        </w:rPr>
        <w:t>(ICJ)</w:t>
      </w:r>
    </w:p>
    <w:p w14:paraId="31195D3C" w14:textId="77777777" w:rsidR="00F67190" w:rsidRPr="006213CD" w:rsidRDefault="00F67190" w:rsidP="00F67190">
      <w:pPr>
        <w:pStyle w:val="ListParagraph"/>
        <w:rPr>
          <w:rFonts w:ascii="Garamond" w:eastAsia="Arial" w:hAnsi="Garamond" w:cs="Arial"/>
          <w:sz w:val="22"/>
          <w:szCs w:val="22"/>
        </w:rPr>
      </w:pPr>
    </w:p>
    <w:p w14:paraId="5220D55D" w14:textId="45669527" w:rsidR="00DB7A20" w:rsidRDefault="00DB7A20" w:rsidP="006213CD">
      <w:pPr>
        <w:pStyle w:val="ListParagraph"/>
        <w:numPr>
          <w:ilvl w:val="0"/>
          <w:numId w:val="1"/>
        </w:numPr>
        <w:rPr>
          <w:rFonts w:ascii="Garamond" w:eastAsia="Arial" w:hAnsi="Garamond" w:cs="Arial"/>
          <w:sz w:val="22"/>
          <w:szCs w:val="22"/>
        </w:rPr>
      </w:pPr>
      <w:r w:rsidRPr="006213CD">
        <w:rPr>
          <w:rFonts w:ascii="Garamond" w:eastAsia="Arial" w:hAnsi="Garamond" w:cs="Arial"/>
          <w:sz w:val="22"/>
          <w:szCs w:val="22"/>
        </w:rPr>
        <w:t>Human Rights Institute of Southern Africa (HURISA)</w:t>
      </w:r>
    </w:p>
    <w:p w14:paraId="55A06C47" w14:textId="77777777" w:rsidR="00F67190" w:rsidRPr="00F67190" w:rsidRDefault="00F67190" w:rsidP="00F67190">
      <w:pPr>
        <w:rPr>
          <w:rFonts w:ascii="Garamond" w:eastAsia="Arial" w:hAnsi="Garamond" w:cs="Arial"/>
          <w:sz w:val="22"/>
          <w:szCs w:val="22"/>
        </w:rPr>
      </w:pPr>
    </w:p>
    <w:p w14:paraId="4752FE5D" w14:textId="34F16E4F" w:rsidR="00DB7A20" w:rsidRPr="003D6C8F" w:rsidRDefault="00DB7A20" w:rsidP="006213CD">
      <w:pPr>
        <w:pStyle w:val="ListParagraph"/>
        <w:numPr>
          <w:ilvl w:val="0"/>
          <w:numId w:val="1"/>
        </w:numPr>
        <w:rPr>
          <w:rFonts w:ascii="Garamond" w:eastAsia="Arial" w:hAnsi="Garamond" w:cs="Arial"/>
          <w:sz w:val="22"/>
          <w:szCs w:val="22"/>
          <w:lang w:val="fr-FR"/>
        </w:rPr>
      </w:pPr>
      <w:r w:rsidRPr="003D6C8F">
        <w:rPr>
          <w:rFonts w:ascii="Garamond" w:eastAsia="Arial" w:hAnsi="Garamond" w:cs="Arial"/>
          <w:sz w:val="22"/>
          <w:szCs w:val="22"/>
          <w:lang w:val="fr-FR"/>
        </w:rPr>
        <w:t>KUTEKESA</w:t>
      </w:r>
      <w:r w:rsidR="00C62444" w:rsidRPr="003D6C8F">
        <w:rPr>
          <w:rFonts w:ascii="Garamond" w:eastAsia="Arial" w:hAnsi="Garamond" w:cs="Arial"/>
          <w:sz w:val="22"/>
          <w:szCs w:val="22"/>
          <w:lang w:val="fr-FR"/>
        </w:rPr>
        <w:t>: Movemento de Defensores de Direitos Humanos</w:t>
      </w:r>
    </w:p>
    <w:p w14:paraId="58C6A2E7" w14:textId="77777777" w:rsidR="00F67190" w:rsidRPr="003D6C8F" w:rsidRDefault="00F67190" w:rsidP="00F67190">
      <w:pPr>
        <w:rPr>
          <w:rFonts w:ascii="Garamond" w:eastAsia="Arial" w:hAnsi="Garamond" w:cs="Arial"/>
          <w:sz w:val="22"/>
          <w:szCs w:val="22"/>
          <w:lang w:val="fr-FR"/>
        </w:rPr>
      </w:pPr>
    </w:p>
    <w:p w14:paraId="5B377F07" w14:textId="5E54893F" w:rsidR="00DB7A20" w:rsidRPr="006213CD" w:rsidRDefault="00DB7A20" w:rsidP="006213CD">
      <w:pPr>
        <w:pStyle w:val="ListParagraph"/>
        <w:numPr>
          <w:ilvl w:val="0"/>
          <w:numId w:val="1"/>
        </w:numPr>
        <w:rPr>
          <w:rFonts w:ascii="Garamond" w:eastAsia="Arial" w:hAnsi="Garamond" w:cs="Arial"/>
          <w:sz w:val="22"/>
          <w:szCs w:val="22"/>
        </w:rPr>
      </w:pPr>
      <w:r w:rsidRPr="006213CD">
        <w:rPr>
          <w:rFonts w:ascii="Garamond" w:eastAsia="Arial" w:hAnsi="Garamond" w:cs="Arial"/>
          <w:sz w:val="22"/>
          <w:szCs w:val="22"/>
        </w:rPr>
        <w:t>Zimbabwe Lawyers for Human Rights</w:t>
      </w:r>
      <w:r w:rsidR="00F67190">
        <w:rPr>
          <w:rFonts w:ascii="Garamond" w:eastAsia="Arial" w:hAnsi="Garamond" w:cs="Arial"/>
          <w:sz w:val="22"/>
          <w:szCs w:val="22"/>
        </w:rPr>
        <w:t xml:space="preserve"> (ZLHR)</w:t>
      </w:r>
    </w:p>
    <w:p w14:paraId="76501FFF" w14:textId="77777777" w:rsidR="00DB7A20" w:rsidRPr="006213CD" w:rsidRDefault="00DB7A20">
      <w:pPr>
        <w:rPr>
          <w:rFonts w:ascii="Garamond" w:eastAsia="Arial" w:hAnsi="Garamond" w:cs="Arial"/>
          <w:sz w:val="20"/>
          <w:szCs w:val="20"/>
        </w:rPr>
      </w:pPr>
    </w:p>
    <w:sectPr w:rsidR="00DB7A20" w:rsidRPr="006213CD" w:rsidSect="00DF240A">
      <w:footerReference w:type="even" r:id="rId11"/>
      <w:footerReference w:type="default" r:id="rId12"/>
      <w:pgSz w:w="11906" w:h="16838"/>
      <w:pgMar w:top="1440" w:right="1376"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E3EE7" w14:textId="77777777" w:rsidR="0068147D" w:rsidRDefault="0068147D" w:rsidP="006213CD">
      <w:r>
        <w:separator/>
      </w:r>
    </w:p>
  </w:endnote>
  <w:endnote w:type="continuationSeparator" w:id="0">
    <w:p w14:paraId="7517C5E7" w14:textId="77777777" w:rsidR="0068147D" w:rsidRDefault="0068147D" w:rsidP="0062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F04E0E2-AB42-4FF1-9CA6-7C815B34CC0D}"/>
    <w:embedItalic r:id="rId2" w:fontKey="{F12CF54C-A3E3-4AAF-86EA-956D68D97ED6}"/>
  </w:font>
  <w:font w:name="Play">
    <w:charset w:val="00"/>
    <w:family w:val="auto"/>
    <w:pitch w:val="default"/>
    <w:embedRegular r:id="rId3" w:fontKey="{CF537C96-3A76-4E47-B703-021295F6FD0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AA17FFA-1D7A-492F-9EFB-B35EB09834C6}"/>
  </w:font>
  <w:font w:name="Garamond">
    <w:panose1 w:val="02020404030301010803"/>
    <w:charset w:val="00"/>
    <w:family w:val="roman"/>
    <w:pitch w:val="variable"/>
    <w:sig w:usb0="00000287" w:usb1="00000000" w:usb2="00000000" w:usb3="00000000" w:csb0="0000009F" w:csb1="00000000"/>
    <w:embedRegular r:id="rId5" w:fontKey="{BEE9CECC-818D-484D-B3F6-287F029B1784}"/>
    <w:embedBold r:id="rId6" w:fontKey="{18276863-28B0-4017-88CB-3D8DA27222D2}"/>
  </w:font>
  <w:font w:name="Book Antiqua">
    <w:panose1 w:val="02040602050305030304"/>
    <w:charset w:val="00"/>
    <w:family w:val="roman"/>
    <w:pitch w:val="variable"/>
    <w:sig w:usb0="00000287" w:usb1="00000000" w:usb2="00000000" w:usb3="00000000" w:csb0="0000009F" w:csb1="00000000"/>
    <w:embedRegular r:id="rId7" w:fontKey="{78744F4B-A834-471E-B11F-1DE198832D05}"/>
    <w:embedBold r:id="rId8" w:fontKey="{C283B8C0-1484-44C4-B0D5-825467A41788}"/>
  </w:font>
  <w:font w:name="Bookman Old Style">
    <w:panose1 w:val="02050604050505020204"/>
    <w:charset w:val="00"/>
    <w:family w:val="roman"/>
    <w:pitch w:val="variable"/>
    <w:sig w:usb0="00000287" w:usb1="00000000" w:usb2="00000000" w:usb3="00000000" w:csb0="0000009F" w:csb1="00000000"/>
    <w:embedRegular r:id="rId9" w:fontKey="{1F742F55-62B0-4E2E-BC0F-7E2EEB4E8EF3}"/>
    <w:embedBold r:id="rId10" w:fontKey="{ACA6DBA5-FF05-442F-ADD7-7665131B453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6C1289BB-99FA-4601-939B-0EA6C6430EC7}"/>
  </w:font>
  <w:font w:name="Cambria">
    <w:panose1 w:val="02040503050406030204"/>
    <w:charset w:val="00"/>
    <w:family w:val="roman"/>
    <w:pitch w:val="variable"/>
    <w:sig w:usb0="E00006FF" w:usb1="420024FF" w:usb2="02000000" w:usb3="00000000" w:csb0="0000019F" w:csb1="00000000"/>
    <w:embedRegular r:id="rId12" w:fontKey="{9D558D46-4A58-424B-852F-86AB9B519F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6860763"/>
      <w:docPartObj>
        <w:docPartGallery w:val="Page Numbers (Bottom of Page)"/>
        <w:docPartUnique/>
      </w:docPartObj>
    </w:sdtPr>
    <w:sdtContent>
      <w:p w14:paraId="4EB0539C" w14:textId="3A58B35E" w:rsidR="006213CD" w:rsidRDefault="006213CD" w:rsidP="00AA74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A499E3" w14:textId="77777777" w:rsidR="006213CD" w:rsidRDefault="006213CD" w:rsidP="006213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0151834"/>
      <w:docPartObj>
        <w:docPartGallery w:val="Page Numbers (Bottom of Page)"/>
        <w:docPartUnique/>
      </w:docPartObj>
    </w:sdtPr>
    <w:sdtContent>
      <w:p w14:paraId="02C6B4F0" w14:textId="0945DA53" w:rsidR="006213CD" w:rsidRDefault="006213CD" w:rsidP="00AA74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030AEC" w14:textId="77777777" w:rsidR="006213CD" w:rsidRDefault="006213CD" w:rsidP="006213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CFC03" w14:textId="77777777" w:rsidR="0068147D" w:rsidRDefault="0068147D" w:rsidP="006213CD">
      <w:r>
        <w:separator/>
      </w:r>
    </w:p>
  </w:footnote>
  <w:footnote w:type="continuationSeparator" w:id="0">
    <w:p w14:paraId="0E33A44D" w14:textId="77777777" w:rsidR="0068147D" w:rsidRDefault="0068147D" w:rsidP="00621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A511DB"/>
    <w:multiLevelType w:val="hybridMultilevel"/>
    <w:tmpl w:val="59D6D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157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DDF"/>
    <w:rsid w:val="001A7B93"/>
    <w:rsid w:val="00231573"/>
    <w:rsid w:val="003A2DDF"/>
    <w:rsid w:val="003D6C8F"/>
    <w:rsid w:val="00415ACF"/>
    <w:rsid w:val="004C1B58"/>
    <w:rsid w:val="006213CD"/>
    <w:rsid w:val="0068147D"/>
    <w:rsid w:val="00947658"/>
    <w:rsid w:val="00A32559"/>
    <w:rsid w:val="00A36F65"/>
    <w:rsid w:val="00B61FDE"/>
    <w:rsid w:val="00C62444"/>
    <w:rsid w:val="00D4177E"/>
    <w:rsid w:val="00DB7A20"/>
    <w:rsid w:val="00DF240A"/>
    <w:rsid w:val="00EF0719"/>
    <w:rsid w:val="00F67190"/>
    <w:rsid w:val="00FD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BFBC4"/>
  <w15:docId w15:val="{5A505521-2DC4-4CF4-9B0F-317991E0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W"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pPr>
      <w:spacing w:after="160"/>
    </w:pPr>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15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573"/>
    <w:rPr>
      <w:rFonts w:ascii="Segoe UI" w:hAnsi="Segoe UI" w:cs="Segoe UI"/>
      <w:sz w:val="18"/>
      <w:szCs w:val="18"/>
    </w:rPr>
  </w:style>
  <w:style w:type="paragraph" w:styleId="Footer">
    <w:name w:val="footer"/>
    <w:basedOn w:val="Normal"/>
    <w:link w:val="FooterChar"/>
    <w:uiPriority w:val="99"/>
    <w:unhideWhenUsed/>
    <w:rsid w:val="006213CD"/>
    <w:pPr>
      <w:tabs>
        <w:tab w:val="center" w:pos="4680"/>
        <w:tab w:val="right" w:pos="9360"/>
      </w:tabs>
    </w:pPr>
  </w:style>
  <w:style w:type="character" w:customStyle="1" w:styleId="FooterChar">
    <w:name w:val="Footer Char"/>
    <w:basedOn w:val="DefaultParagraphFont"/>
    <w:link w:val="Footer"/>
    <w:uiPriority w:val="99"/>
    <w:rsid w:val="006213CD"/>
  </w:style>
  <w:style w:type="character" w:styleId="PageNumber">
    <w:name w:val="page number"/>
    <w:basedOn w:val="DefaultParagraphFont"/>
    <w:uiPriority w:val="99"/>
    <w:semiHidden/>
    <w:unhideWhenUsed/>
    <w:rsid w:val="006213CD"/>
  </w:style>
  <w:style w:type="paragraph" w:styleId="ListParagraph">
    <w:name w:val="List Paragraph"/>
    <w:basedOn w:val="Normal"/>
    <w:uiPriority w:val="34"/>
    <w:qFormat/>
    <w:rsid w:val="006213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Kaajal Ramjathan-Keogh</cp:lastModifiedBy>
  <cp:revision>5</cp:revision>
  <dcterms:created xsi:type="dcterms:W3CDTF">2025-11-01T00:53:00Z</dcterms:created>
  <dcterms:modified xsi:type="dcterms:W3CDTF">2025-11-04T08:41:00Z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03817c32-432f-4106-9739-41b91915f3cd</vt:lpwstr>
  </property>
</Properties>
</file>